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455" w:rsidRDefault="00A52455" w:rsidP="00537BEE">
      <w:pPr>
        <w:spacing w:line="360" w:lineRule="auto"/>
        <w:ind w:firstLineChars="200" w:firstLine="643"/>
        <w:jc w:val="center"/>
        <w:rPr>
          <w:rFonts w:ascii="黑体" w:eastAsia="黑体" w:hAnsi="黑体"/>
          <w:b/>
          <w:color w:val="FF0000"/>
          <w:sz w:val="32"/>
          <w:szCs w:val="32"/>
        </w:rPr>
      </w:pPr>
      <w:bookmarkStart w:id="0" w:name="_GoBack"/>
      <w:r>
        <w:rPr>
          <w:rFonts w:ascii="黑体" w:eastAsia="黑体" w:hAnsi="黑体" w:hint="eastAsia"/>
          <w:b/>
          <w:color w:val="FF0000"/>
          <w:sz w:val="32"/>
          <w:szCs w:val="32"/>
        </w:rPr>
        <w:t>陕西航天动力高科技股份有限公司</w:t>
      </w:r>
    </w:p>
    <w:p w:rsidR="00A52455" w:rsidRDefault="00DE4E25" w:rsidP="00537BEE">
      <w:pPr>
        <w:spacing w:line="360" w:lineRule="auto"/>
        <w:ind w:firstLineChars="200" w:firstLine="643"/>
        <w:jc w:val="center"/>
        <w:rPr>
          <w:rFonts w:ascii="宋体" w:hAnsi="宋体"/>
          <w:b/>
          <w:color w:val="FF0000"/>
          <w:sz w:val="32"/>
          <w:szCs w:val="32"/>
        </w:rPr>
      </w:pPr>
      <w:r>
        <w:rPr>
          <w:rFonts w:ascii="黑体" w:eastAsia="黑体" w:hAnsi="黑体" w:hint="eastAsia"/>
          <w:b/>
          <w:bCs/>
          <w:color w:val="FF0000"/>
          <w:sz w:val="32"/>
          <w:szCs w:val="32"/>
        </w:rPr>
        <w:t>关于</w:t>
      </w:r>
      <w:r w:rsidR="007D09B5">
        <w:rPr>
          <w:rFonts w:ascii="黑体" w:eastAsia="黑体" w:hAnsi="黑体"/>
          <w:b/>
          <w:bCs/>
          <w:color w:val="FF0000"/>
          <w:sz w:val="32"/>
          <w:szCs w:val="32"/>
        </w:rPr>
        <w:t>202</w:t>
      </w:r>
      <w:r w:rsidR="004E0B54">
        <w:rPr>
          <w:rFonts w:ascii="黑体" w:eastAsia="黑体" w:hAnsi="黑体"/>
          <w:b/>
          <w:bCs/>
          <w:color w:val="FF0000"/>
          <w:sz w:val="32"/>
          <w:szCs w:val="32"/>
        </w:rPr>
        <w:t>1</w:t>
      </w:r>
      <w:r w:rsidR="00A52455">
        <w:rPr>
          <w:rFonts w:ascii="黑体" w:eastAsia="黑体" w:hAnsi="黑体" w:hint="eastAsia"/>
          <w:b/>
          <w:bCs/>
          <w:color w:val="FF0000"/>
          <w:sz w:val="32"/>
          <w:szCs w:val="32"/>
        </w:rPr>
        <w:t>年度利润分配方案</w:t>
      </w:r>
      <w:r>
        <w:rPr>
          <w:rFonts w:ascii="黑体" w:eastAsia="黑体" w:hAnsi="黑体" w:hint="eastAsia"/>
          <w:b/>
          <w:bCs/>
          <w:color w:val="FF0000"/>
          <w:sz w:val="32"/>
          <w:szCs w:val="32"/>
        </w:rPr>
        <w:t>的</w:t>
      </w:r>
      <w:r w:rsidR="00A52455">
        <w:rPr>
          <w:rFonts w:ascii="黑体" w:eastAsia="黑体" w:hAnsi="黑体" w:hint="eastAsia"/>
          <w:b/>
          <w:bCs/>
          <w:color w:val="FF0000"/>
          <w:sz w:val="32"/>
          <w:szCs w:val="32"/>
        </w:rPr>
        <w:t>公告</w:t>
      </w:r>
    </w:p>
    <w:p w:rsidR="00A52455" w:rsidRDefault="00A52455" w:rsidP="00537BEE">
      <w:pPr>
        <w:pStyle w:val="a3"/>
        <w:spacing w:line="360" w:lineRule="auto"/>
        <w:rPr>
          <w:rFonts w:ascii="宋体" w:eastAsia="宋体" w:hAnsi="宋体"/>
          <w:color w:val="000000"/>
          <w:szCs w:val="24"/>
        </w:rPr>
      </w:pPr>
      <w:r>
        <w:rPr>
          <w:rFonts w:ascii="宋体" w:eastAsia="宋体" w:hAnsi="宋体" w:hint="eastAsia"/>
          <w:color w:val="000000"/>
          <w:szCs w:val="24"/>
        </w:rPr>
        <w:t>本公司董事会及全体董事保证本公告内容不存在任何虚假记载、误导性陈述或者重大遗漏，并对其内容的真实性、准确性和完整性承担个别及连带责任。</w:t>
      </w:r>
    </w:p>
    <w:bookmarkEnd w:id="0"/>
    <w:p w:rsidR="00A52455" w:rsidRPr="00A52455" w:rsidRDefault="00A52455" w:rsidP="00A52455">
      <w:pPr>
        <w:adjustRightInd w:val="0"/>
        <w:snapToGrid w:val="0"/>
        <w:spacing w:line="560" w:lineRule="exact"/>
        <w:ind w:firstLineChars="200" w:firstLine="480"/>
        <w:rPr>
          <w:rFonts w:ascii="宋体" w:hAnsi="宋体"/>
          <w:bCs/>
          <w:sz w:val="24"/>
        </w:rPr>
      </w:pPr>
      <w:r w:rsidRPr="00A52455">
        <w:rPr>
          <w:rFonts w:ascii="宋体" w:hAnsi="宋体" w:hint="eastAsia"/>
          <w:bCs/>
          <w:sz w:val="24"/>
        </w:rPr>
        <w:t>重要内容提示：</w:t>
      </w:r>
    </w:p>
    <w:p w:rsidR="00A52455" w:rsidRPr="00A52455" w:rsidRDefault="00A52455" w:rsidP="00A52455">
      <w:pPr>
        <w:adjustRightInd w:val="0"/>
        <w:snapToGrid w:val="0"/>
        <w:spacing w:line="360" w:lineRule="auto"/>
        <w:ind w:firstLineChars="200" w:firstLine="480"/>
        <w:rPr>
          <w:rFonts w:ascii="宋体" w:hAnsi="宋体"/>
          <w:sz w:val="24"/>
        </w:rPr>
      </w:pPr>
      <w:r w:rsidRPr="00A52455">
        <w:rPr>
          <w:rFonts w:ascii="宋体" w:hAnsi="宋体"/>
          <w:sz w:val="24"/>
        </w:rPr>
        <w:t>●</w:t>
      </w:r>
      <w:r w:rsidRPr="00A52455">
        <w:rPr>
          <w:rFonts w:ascii="宋体" w:hAnsi="宋体" w:hint="eastAsia"/>
          <w:sz w:val="24"/>
        </w:rPr>
        <w:t>分配方案：</w:t>
      </w:r>
      <w:r w:rsidR="007766BB">
        <w:rPr>
          <w:rFonts w:ascii="宋体" w:hAnsi="宋体" w:hint="eastAsia"/>
          <w:sz w:val="24"/>
        </w:rPr>
        <w:t>陕西航天动力高科技股份有限公司（以下简称“</w:t>
      </w:r>
      <w:r w:rsidR="00293F99">
        <w:rPr>
          <w:rFonts w:ascii="宋体" w:hAnsi="宋体" w:hint="eastAsia"/>
          <w:sz w:val="24"/>
        </w:rPr>
        <w:t>公司</w:t>
      </w:r>
      <w:r w:rsidR="007766BB">
        <w:rPr>
          <w:rFonts w:ascii="宋体" w:hAnsi="宋体" w:hint="eastAsia"/>
          <w:sz w:val="24"/>
        </w:rPr>
        <w:t>”）</w:t>
      </w:r>
      <w:r w:rsidRPr="00A52455">
        <w:rPr>
          <w:rFonts w:ascii="宋体" w:hAnsi="宋体" w:hint="eastAsia"/>
          <w:sz w:val="24"/>
        </w:rPr>
        <w:t xml:space="preserve">拟定 </w:t>
      </w:r>
      <w:r w:rsidR="007D09B5">
        <w:rPr>
          <w:rFonts w:ascii="宋体" w:hAnsi="宋体" w:hint="eastAsia"/>
          <w:sz w:val="24"/>
        </w:rPr>
        <w:t>202</w:t>
      </w:r>
      <w:r w:rsidR="004E0B54">
        <w:rPr>
          <w:rFonts w:ascii="宋体" w:hAnsi="宋体"/>
          <w:sz w:val="24"/>
        </w:rPr>
        <w:t>1</w:t>
      </w:r>
      <w:r w:rsidRPr="00A52455">
        <w:rPr>
          <w:rFonts w:ascii="宋体" w:hAnsi="宋体" w:hint="eastAsia"/>
          <w:sz w:val="24"/>
        </w:rPr>
        <w:t xml:space="preserve"> 年度不派发现金红利、不以资本公积金转增股本。</w:t>
      </w:r>
    </w:p>
    <w:p w:rsidR="00A52455" w:rsidRPr="00A52455" w:rsidRDefault="00A52455" w:rsidP="00AA30AD">
      <w:pPr>
        <w:adjustRightInd w:val="0"/>
        <w:spacing w:line="360" w:lineRule="auto"/>
        <w:ind w:firstLineChars="200" w:firstLine="482"/>
        <w:jc w:val="left"/>
        <w:rPr>
          <w:rFonts w:ascii="宋体" w:hAnsi="宋体"/>
          <w:b/>
          <w:sz w:val="24"/>
        </w:rPr>
      </w:pPr>
      <w:r w:rsidRPr="00A52455">
        <w:rPr>
          <w:rFonts w:ascii="宋体" w:hAnsi="宋体" w:hint="eastAsia"/>
          <w:b/>
          <w:sz w:val="24"/>
        </w:rPr>
        <w:t>一、</w:t>
      </w:r>
      <w:r w:rsidR="004E0B54">
        <w:rPr>
          <w:rFonts w:ascii="宋体" w:hAnsi="宋体" w:hint="eastAsia"/>
          <w:b/>
          <w:sz w:val="24"/>
        </w:rPr>
        <w:t>2021年度</w:t>
      </w:r>
      <w:r w:rsidRPr="00A52455">
        <w:rPr>
          <w:rFonts w:ascii="宋体" w:hAnsi="宋体" w:hint="eastAsia"/>
          <w:b/>
          <w:sz w:val="24"/>
        </w:rPr>
        <w:t>利润分配方案内容</w:t>
      </w:r>
    </w:p>
    <w:p w:rsidR="004E0B54" w:rsidRPr="004E0B54" w:rsidRDefault="004E0B54" w:rsidP="004E0B54">
      <w:pPr>
        <w:adjustRightInd w:val="0"/>
        <w:spacing w:line="360" w:lineRule="auto"/>
        <w:ind w:firstLineChars="200" w:firstLine="480"/>
        <w:rPr>
          <w:rFonts w:ascii="宋体" w:hAnsi="宋体"/>
          <w:sz w:val="24"/>
        </w:rPr>
      </w:pPr>
      <w:r w:rsidRPr="004E0B54">
        <w:rPr>
          <w:rFonts w:ascii="宋体" w:hAnsi="宋体" w:hint="eastAsia"/>
          <w:sz w:val="24"/>
        </w:rPr>
        <w:t>根据中兴华会计师事务所（特殊普通合伙）审计，公司2021年实现归属</w:t>
      </w:r>
      <w:r>
        <w:rPr>
          <w:rFonts w:ascii="宋体" w:hAnsi="宋体" w:hint="eastAsia"/>
          <w:sz w:val="24"/>
        </w:rPr>
        <w:t>于</w:t>
      </w:r>
      <w:r w:rsidRPr="007D09B5">
        <w:rPr>
          <w:rFonts w:ascii="宋体" w:hAnsi="宋体" w:hint="eastAsia"/>
          <w:sz w:val="24"/>
        </w:rPr>
        <w:t>上市公司股东</w:t>
      </w:r>
      <w:r w:rsidRPr="004E0B54">
        <w:rPr>
          <w:rFonts w:ascii="宋体" w:hAnsi="宋体" w:hint="eastAsia"/>
          <w:sz w:val="24"/>
        </w:rPr>
        <w:t>的净利润-25,794.23万元，根据《公司法》和《公司章程》有关规定，不提取法定盈余公积金；</w:t>
      </w:r>
      <w:r>
        <w:rPr>
          <w:rFonts w:ascii="宋体" w:hAnsi="宋体" w:hint="eastAsia"/>
          <w:sz w:val="24"/>
        </w:rPr>
        <w:t>2</w:t>
      </w:r>
      <w:r>
        <w:rPr>
          <w:rFonts w:ascii="宋体" w:hAnsi="宋体"/>
          <w:sz w:val="24"/>
        </w:rPr>
        <w:t>021</w:t>
      </w:r>
      <w:r>
        <w:rPr>
          <w:rFonts w:ascii="宋体" w:hAnsi="宋体" w:hint="eastAsia"/>
          <w:sz w:val="24"/>
        </w:rPr>
        <w:t>年期</w:t>
      </w:r>
      <w:r w:rsidRPr="004E0B54">
        <w:rPr>
          <w:rFonts w:ascii="宋体" w:hAnsi="宋体" w:hint="eastAsia"/>
          <w:sz w:val="24"/>
        </w:rPr>
        <w:t>末可供股东分配的利润为873.92万元。</w:t>
      </w:r>
    </w:p>
    <w:p w:rsidR="007D09B5" w:rsidRDefault="007D09B5" w:rsidP="004E0B54">
      <w:pPr>
        <w:adjustRightInd w:val="0"/>
        <w:spacing w:line="360" w:lineRule="auto"/>
        <w:ind w:firstLineChars="200" w:firstLine="480"/>
        <w:rPr>
          <w:rFonts w:ascii="宋体" w:hAnsi="宋体"/>
          <w:sz w:val="24"/>
        </w:rPr>
      </w:pPr>
      <w:r w:rsidRPr="007D09B5">
        <w:rPr>
          <w:rFonts w:ascii="宋体" w:hAnsi="宋体" w:hint="eastAsia"/>
          <w:sz w:val="24"/>
        </w:rPr>
        <w:t>经公司第七届董事会第</w:t>
      </w:r>
      <w:r w:rsidR="004E0B54">
        <w:rPr>
          <w:rFonts w:ascii="宋体" w:hAnsi="宋体" w:hint="eastAsia"/>
          <w:sz w:val="24"/>
        </w:rPr>
        <w:t>十</w:t>
      </w:r>
      <w:r w:rsidRPr="007D09B5">
        <w:rPr>
          <w:rFonts w:ascii="宋体" w:hAnsi="宋体" w:hint="eastAsia"/>
          <w:sz w:val="24"/>
        </w:rPr>
        <w:t>七次会议决议，公司拟定</w:t>
      </w:r>
      <w:r w:rsidR="004E0B54">
        <w:rPr>
          <w:rFonts w:ascii="宋体" w:hAnsi="宋体" w:hint="eastAsia"/>
          <w:sz w:val="24"/>
        </w:rPr>
        <w:t>2021年度</w:t>
      </w:r>
      <w:r w:rsidRPr="007D09B5">
        <w:rPr>
          <w:rFonts w:ascii="宋体" w:hAnsi="宋体" w:hint="eastAsia"/>
          <w:sz w:val="24"/>
        </w:rPr>
        <w:t>不派发现金红利、不以资本公积金转增股本。</w:t>
      </w:r>
    </w:p>
    <w:p w:rsidR="004E0B54" w:rsidRDefault="00A52455" w:rsidP="00AA30AD">
      <w:pPr>
        <w:adjustRightInd w:val="0"/>
        <w:spacing w:line="360" w:lineRule="auto"/>
        <w:ind w:firstLineChars="200" w:firstLine="482"/>
        <w:jc w:val="left"/>
        <w:rPr>
          <w:rFonts w:ascii="宋体" w:hAnsi="宋体"/>
          <w:b/>
          <w:bCs/>
          <w:sz w:val="24"/>
        </w:rPr>
      </w:pPr>
      <w:r w:rsidRPr="007766BB">
        <w:rPr>
          <w:rFonts w:ascii="宋体" w:hAnsi="宋体" w:hint="eastAsia"/>
          <w:b/>
          <w:bCs/>
          <w:sz w:val="24"/>
        </w:rPr>
        <w:t>二、</w:t>
      </w:r>
      <w:r w:rsidR="007D09B5">
        <w:rPr>
          <w:rFonts w:ascii="宋体" w:hAnsi="宋体" w:hint="eastAsia"/>
          <w:b/>
          <w:bCs/>
          <w:sz w:val="24"/>
        </w:rPr>
        <w:t>202</w:t>
      </w:r>
      <w:r w:rsidR="004E0B54">
        <w:rPr>
          <w:rFonts w:ascii="宋体" w:hAnsi="宋体"/>
          <w:b/>
          <w:bCs/>
          <w:sz w:val="24"/>
        </w:rPr>
        <w:t>1</w:t>
      </w:r>
      <w:r w:rsidRPr="007766BB">
        <w:rPr>
          <w:rFonts w:ascii="宋体" w:hAnsi="宋体" w:hint="eastAsia"/>
          <w:b/>
          <w:bCs/>
          <w:sz w:val="24"/>
        </w:rPr>
        <w:t>年度拟不进行利润分配的原因</w:t>
      </w:r>
    </w:p>
    <w:p w:rsidR="00A52455" w:rsidRPr="007766BB" w:rsidRDefault="004E0B54" w:rsidP="004E0B54">
      <w:pPr>
        <w:adjustRightInd w:val="0"/>
        <w:spacing w:line="360" w:lineRule="auto"/>
        <w:ind w:firstLineChars="200" w:firstLine="480"/>
        <w:rPr>
          <w:rFonts w:ascii="宋体" w:hAnsi="宋体"/>
          <w:b/>
          <w:bCs/>
          <w:sz w:val="24"/>
        </w:rPr>
      </w:pPr>
      <w:r w:rsidRPr="004E0B54">
        <w:rPr>
          <w:rFonts w:ascii="宋体" w:hAnsi="宋体" w:hint="eastAsia"/>
          <w:sz w:val="24"/>
        </w:rPr>
        <w:t>根据《公司章程》相关规定，公司现金分红需满足“年度实现可供股东分配的利润为正值且可以实际派发”，公司2021年度实现归属于上市股东的净利润为</w:t>
      </w:r>
      <w:r w:rsidR="00D825AC">
        <w:rPr>
          <w:rFonts w:ascii="宋体" w:hAnsi="宋体" w:hint="eastAsia"/>
          <w:sz w:val="24"/>
        </w:rPr>
        <w:t xml:space="preserve"> </w:t>
      </w:r>
      <w:r w:rsidR="00D825AC">
        <w:rPr>
          <w:rFonts w:ascii="宋体" w:hAnsi="宋体"/>
          <w:sz w:val="24"/>
        </w:rPr>
        <w:t xml:space="preserve">    </w:t>
      </w:r>
      <w:r w:rsidRPr="004E0B54">
        <w:rPr>
          <w:rFonts w:ascii="宋体" w:hAnsi="宋体" w:hint="eastAsia"/>
          <w:sz w:val="24"/>
        </w:rPr>
        <w:t>-25,794.23万元，不具备分红的条件；同时为保障公司后续日常经营、研发项目、固定资产技术改造等各项资金支出安排，满足公司可持续发展，公司拟定2021年度不派发现金红利</w:t>
      </w:r>
      <w:r w:rsidR="009A6E7D">
        <w:rPr>
          <w:rFonts w:ascii="宋体" w:hAnsi="宋体" w:hint="eastAsia"/>
          <w:sz w:val="24"/>
        </w:rPr>
        <w:t>、不送红股、不以资本公积金转增股本，未分配利润将留存公司用于</w:t>
      </w:r>
      <w:r w:rsidRPr="004E0B54">
        <w:rPr>
          <w:rFonts w:ascii="宋体" w:hAnsi="宋体" w:hint="eastAsia"/>
          <w:sz w:val="24"/>
        </w:rPr>
        <w:t>公司经营发展。</w:t>
      </w:r>
    </w:p>
    <w:p w:rsidR="00DE3301" w:rsidRDefault="00DE3301" w:rsidP="007D09B5">
      <w:pPr>
        <w:adjustRightInd w:val="0"/>
        <w:spacing w:line="360" w:lineRule="auto"/>
        <w:ind w:firstLineChars="200" w:firstLine="482"/>
        <w:jc w:val="left"/>
        <w:rPr>
          <w:rFonts w:ascii="宋体" w:hAnsi="宋体"/>
          <w:b/>
          <w:sz w:val="24"/>
        </w:rPr>
      </w:pPr>
      <w:r w:rsidRPr="00DE3301">
        <w:rPr>
          <w:rFonts w:ascii="宋体" w:hAnsi="宋体" w:hint="eastAsia"/>
          <w:b/>
          <w:sz w:val="24"/>
        </w:rPr>
        <w:t>三、</w:t>
      </w:r>
      <w:r>
        <w:rPr>
          <w:rFonts w:ascii="宋体" w:hAnsi="宋体" w:hint="eastAsia"/>
          <w:b/>
          <w:sz w:val="24"/>
        </w:rPr>
        <w:t>公司</w:t>
      </w:r>
      <w:r w:rsidRPr="00DE3301">
        <w:rPr>
          <w:rFonts w:ascii="宋体" w:hAnsi="宋体" w:hint="eastAsia"/>
          <w:b/>
          <w:sz w:val="24"/>
        </w:rPr>
        <w:t>履行的决策程序</w:t>
      </w:r>
    </w:p>
    <w:p w:rsidR="00D33BF1" w:rsidRPr="00D33BF1" w:rsidRDefault="00DE3301" w:rsidP="007D09B5">
      <w:pPr>
        <w:adjustRightInd w:val="0"/>
        <w:spacing w:line="360" w:lineRule="auto"/>
        <w:ind w:firstLineChars="200" w:firstLine="482"/>
        <w:jc w:val="left"/>
        <w:rPr>
          <w:rFonts w:ascii="宋体" w:hAnsi="宋体"/>
          <w:b/>
          <w:sz w:val="24"/>
        </w:rPr>
      </w:pPr>
      <w:r w:rsidRPr="00D33BF1">
        <w:rPr>
          <w:rFonts w:ascii="宋体" w:hAnsi="宋体" w:hint="eastAsia"/>
          <w:b/>
          <w:sz w:val="24"/>
        </w:rPr>
        <w:t>（一）</w:t>
      </w:r>
      <w:r w:rsidR="00D33BF1" w:rsidRPr="00D33BF1">
        <w:rPr>
          <w:b/>
          <w:sz w:val="24"/>
        </w:rPr>
        <w:t>董事会会议的召开、审议和表决情况</w:t>
      </w:r>
    </w:p>
    <w:p w:rsidR="00DE3301" w:rsidRPr="00D33BF1" w:rsidRDefault="00DE3301" w:rsidP="004E0B54">
      <w:pPr>
        <w:adjustRightInd w:val="0"/>
        <w:spacing w:line="360" w:lineRule="auto"/>
        <w:ind w:firstLineChars="200" w:firstLine="480"/>
        <w:rPr>
          <w:rFonts w:ascii="宋体" w:hAnsi="宋体"/>
          <w:b/>
          <w:sz w:val="24"/>
        </w:rPr>
      </w:pPr>
      <w:r w:rsidRPr="00D33BF1">
        <w:rPr>
          <w:rFonts w:ascii="宋体" w:hAnsi="宋体" w:hint="eastAsia"/>
          <w:sz w:val="24"/>
        </w:rPr>
        <w:t>公司于</w:t>
      </w:r>
      <w:r w:rsidRPr="00D33BF1">
        <w:rPr>
          <w:rFonts w:ascii="宋体" w:hAnsi="宋体"/>
          <w:sz w:val="24"/>
        </w:rPr>
        <w:t>202</w:t>
      </w:r>
      <w:r w:rsidR="004E0B54">
        <w:rPr>
          <w:rFonts w:ascii="宋体" w:hAnsi="宋体"/>
          <w:sz w:val="24"/>
        </w:rPr>
        <w:t>2</w:t>
      </w:r>
      <w:r w:rsidRPr="00D33BF1">
        <w:rPr>
          <w:rFonts w:ascii="宋体" w:hAnsi="宋体"/>
          <w:sz w:val="24"/>
        </w:rPr>
        <w:t>年4月27日召开的第</w:t>
      </w:r>
      <w:r w:rsidRPr="00D33BF1">
        <w:rPr>
          <w:rFonts w:ascii="宋体" w:hAnsi="宋体" w:hint="eastAsia"/>
          <w:sz w:val="24"/>
        </w:rPr>
        <w:t>七</w:t>
      </w:r>
      <w:r w:rsidRPr="00D33BF1">
        <w:rPr>
          <w:rFonts w:ascii="宋体" w:hAnsi="宋体"/>
          <w:sz w:val="24"/>
        </w:rPr>
        <w:t>届董事会第</w:t>
      </w:r>
      <w:r w:rsidR="004E0B54">
        <w:rPr>
          <w:rFonts w:ascii="宋体" w:hAnsi="宋体" w:hint="eastAsia"/>
          <w:sz w:val="24"/>
        </w:rPr>
        <w:t>十</w:t>
      </w:r>
      <w:r w:rsidRPr="00D33BF1">
        <w:rPr>
          <w:rFonts w:ascii="宋体" w:hAnsi="宋体" w:hint="eastAsia"/>
          <w:sz w:val="24"/>
        </w:rPr>
        <w:t>七</w:t>
      </w:r>
      <w:r w:rsidRPr="00D33BF1">
        <w:rPr>
          <w:rFonts w:ascii="宋体" w:hAnsi="宋体"/>
          <w:sz w:val="24"/>
        </w:rPr>
        <w:t>次会议</w:t>
      </w:r>
      <w:r w:rsidR="00D33BF1" w:rsidRPr="00D33BF1">
        <w:rPr>
          <w:rFonts w:ascii="宋体" w:hAnsi="宋体" w:hint="eastAsia"/>
          <w:sz w:val="24"/>
        </w:rPr>
        <w:t>以</w:t>
      </w:r>
      <w:r w:rsidR="004E0B54">
        <w:rPr>
          <w:rFonts w:ascii="宋体" w:hAnsi="宋体"/>
          <w:sz w:val="24"/>
        </w:rPr>
        <w:t>8</w:t>
      </w:r>
      <w:r w:rsidR="00D33BF1" w:rsidRPr="00D33BF1">
        <w:rPr>
          <w:rFonts w:ascii="宋体" w:hAnsi="宋体" w:hint="eastAsia"/>
          <w:sz w:val="24"/>
        </w:rPr>
        <w:t>票同意、0票反对、0票弃权，审议</w:t>
      </w:r>
      <w:r w:rsidRPr="00D33BF1">
        <w:rPr>
          <w:rFonts w:ascii="宋体" w:hAnsi="宋体"/>
          <w:sz w:val="24"/>
        </w:rPr>
        <w:t>通过了《</w:t>
      </w:r>
      <w:r w:rsidRPr="00D33BF1">
        <w:rPr>
          <w:rFonts w:ascii="宋体" w:hAnsi="宋体" w:hint="eastAsia"/>
          <w:sz w:val="24"/>
        </w:rPr>
        <w:t>公司</w:t>
      </w:r>
      <w:r w:rsidR="004E0B54">
        <w:rPr>
          <w:rFonts w:ascii="宋体" w:hAnsi="宋体" w:hint="eastAsia"/>
          <w:sz w:val="24"/>
        </w:rPr>
        <w:t>2021年度</w:t>
      </w:r>
      <w:r w:rsidRPr="00D33BF1">
        <w:rPr>
          <w:rFonts w:ascii="宋体" w:hAnsi="宋体" w:hint="eastAsia"/>
          <w:sz w:val="24"/>
        </w:rPr>
        <w:t>利润分配方案（预案）</w:t>
      </w:r>
      <w:r w:rsidRPr="00D33BF1">
        <w:rPr>
          <w:rFonts w:ascii="宋体" w:hAnsi="宋体"/>
          <w:sz w:val="24"/>
        </w:rPr>
        <w:t>》，</w:t>
      </w:r>
      <w:r w:rsidRPr="00D33BF1">
        <w:rPr>
          <w:rFonts w:ascii="宋体" w:hAnsi="宋体" w:hint="eastAsia"/>
          <w:sz w:val="24"/>
        </w:rPr>
        <w:t>同意将该议案提交</w:t>
      </w:r>
      <w:r w:rsidR="00D33BF1" w:rsidRPr="00D33BF1">
        <w:rPr>
          <w:rFonts w:ascii="宋体" w:hAnsi="宋体" w:hint="eastAsia"/>
          <w:sz w:val="24"/>
        </w:rPr>
        <w:t>公司2</w:t>
      </w:r>
      <w:r w:rsidR="00D33BF1" w:rsidRPr="00D33BF1">
        <w:rPr>
          <w:rFonts w:ascii="宋体" w:hAnsi="宋体"/>
          <w:sz w:val="24"/>
        </w:rPr>
        <w:t>02</w:t>
      </w:r>
      <w:r w:rsidR="004E0B54">
        <w:rPr>
          <w:rFonts w:ascii="宋体" w:hAnsi="宋体"/>
          <w:sz w:val="24"/>
        </w:rPr>
        <w:t>1</w:t>
      </w:r>
      <w:r w:rsidR="00D33BF1" w:rsidRPr="00D33BF1">
        <w:rPr>
          <w:rFonts w:ascii="宋体" w:hAnsi="宋体" w:hint="eastAsia"/>
          <w:sz w:val="24"/>
        </w:rPr>
        <w:t>年年度</w:t>
      </w:r>
      <w:r w:rsidRPr="00D33BF1">
        <w:rPr>
          <w:rFonts w:ascii="宋体" w:hAnsi="宋体" w:hint="eastAsia"/>
          <w:sz w:val="24"/>
        </w:rPr>
        <w:t>股东大会审议。</w:t>
      </w:r>
    </w:p>
    <w:p w:rsidR="007766BB" w:rsidRPr="00D33BF1" w:rsidRDefault="00DE3301" w:rsidP="007D09B5">
      <w:pPr>
        <w:adjustRightInd w:val="0"/>
        <w:spacing w:line="360" w:lineRule="auto"/>
        <w:ind w:firstLineChars="200" w:firstLine="482"/>
        <w:jc w:val="left"/>
        <w:rPr>
          <w:rFonts w:ascii="宋体" w:hAnsi="宋体"/>
          <w:b/>
          <w:bCs/>
          <w:sz w:val="24"/>
        </w:rPr>
      </w:pPr>
      <w:r w:rsidRPr="00D33BF1">
        <w:rPr>
          <w:rFonts w:ascii="宋体" w:hAnsi="宋体" w:hint="eastAsia"/>
          <w:b/>
          <w:bCs/>
          <w:sz w:val="24"/>
        </w:rPr>
        <w:t>（二）</w:t>
      </w:r>
      <w:r w:rsidR="007766BB" w:rsidRPr="00D33BF1">
        <w:rPr>
          <w:rFonts w:ascii="宋体" w:hAnsi="宋体" w:hint="eastAsia"/>
          <w:b/>
          <w:bCs/>
          <w:sz w:val="24"/>
        </w:rPr>
        <w:t xml:space="preserve">独立董事意见 </w:t>
      </w:r>
    </w:p>
    <w:p w:rsidR="00CA24C3" w:rsidRPr="00D33BF1" w:rsidRDefault="00900DD7" w:rsidP="004E0B54">
      <w:pPr>
        <w:adjustRightInd w:val="0"/>
        <w:spacing w:line="360" w:lineRule="auto"/>
        <w:ind w:firstLineChars="200" w:firstLine="480"/>
        <w:rPr>
          <w:rFonts w:ascii="宋体" w:hAnsi="宋体"/>
          <w:sz w:val="24"/>
        </w:rPr>
      </w:pPr>
      <w:r w:rsidRPr="00900DD7">
        <w:rPr>
          <w:rFonts w:ascii="宋体" w:hAnsi="宋体" w:hint="eastAsia"/>
          <w:sz w:val="24"/>
        </w:rPr>
        <w:t>根据公司2021年实现的可供股东分配利润情况综合考虑公司后期资金安排和未来发展战略，董事会提出2021年度不进行利润分配的预案。该预案符合公司长远发展需要，符合公司全体股东的利益，不存在损害投资者利益，尤其是中小投资</w:t>
      </w:r>
      <w:r w:rsidRPr="00900DD7">
        <w:rPr>
          <w:rFonts w:ascii="宋体" w:hAnsi="宋体" w:hint="eastAsia"/>
          <w:sz w:val="24"/>
        </w:rPr>
        <w:lastRenderedPageBreak/>
        <w:t>者利益的情况，预案的决策程序符合《公司法》《公司章程》等相关规定。我们同意《公司2021年度利润分配方案（预案）》，并同意将该议案提交公司2021年年度股东大会审议</w:t>
      </w:r>
      <w:r w:rsidR="007D09B5" w:rsidRPr="00D33BF1">
        <w:rPr>
          <w:rFonts w:ascii="宋体" w:hAnsi="宋体" w:hint="eastAsia"/>
          <w:sz w:val="24"/>
        </w:rPr>
        <w:t>。</w:t>
      </w:r>
    </w:p>
    <w:p w:rsidR="00DE3301" w:rsidRPr="00D33BF1" w:rsidRDefault="00DE3301" w:rsidP="00A52455">
      <w:pPr>
        <w:adjustRightInd w:val="0"/>
        <w:spacing w:line="360" w:lineRule="auto"/>
        <w:ind w:firstLineChars="200" w:firstLine="482"/>
        <w:jc w:val="left"/>
        <w:rPr>
          <w:rFonts w:ascii="宋体" w:hAnsi="宋体"/>
          <w:b/>
          <w:sz w:val="24"/>
        </w:rPr>
      </w:pPr>
      <w:r w:rsidRPr="00D33BF1">
        <w:rPr>
          <w:rFonts w:ascii="宋体" w:hAnsi="宋体" w:hint="eastAsia"/>
          <w:b/>
          <w:sz w:val="24"/>
        </w:rPr>
        <w:t>（三）监事会</w:t>
      </w:r>
      <w:r w:rsidR="00D33BF1" w:rsidRPr="00D33BF1">
        <w:rPr>
          <w:rFonts w:ascii="宋体" w:hAnsi="宋体" w:hint="eastAsia"/>
          <w:b/>
          <w:sz w:val="24"/>
        </w:rPr>
        <w:t>意见</w:t>
      </w:r>
    </w:p>
    <w:p w:rsidR="004E0B54" w:rsidRPr="00D33BF1" w:rsidRDefault="00DE3301" w:rsidP="004E0B54">
      <w:pPr>
        <w:adjustRightInd w:val="0"/>
        <w:spacing w:line="360" w:lineRule="auto"/>
        <w:ind w:firstLineChars="200" w:firstLine="480"/>
        <w:rPr>
          <w:rFonts w:ascii="宋体" w:hAnsi="宋体"/>
          <w:sz w:val="24"/>
        </w:rPr>
      </w:pPr>
      <w:r w:rsidRPr="00D33BF1">
        <w:rPr>
          <w:rFonts w:ascii="宋体" w:hAnsi="宋体" w:hint="eastAsia"/>
          <w:sz w:val="24"/>
        </w:rPr>
        <w:t>公司于2</w:t>
      </w:r>
      <w:r w:rsidRPr="00D33BF1">
        <w:rPr>
          <w:rFonts w:ascii="宋体" w:hAnsi="宋体"/>
          <w:sz w:val="24"/>
        </w:rPr>
        <w:t>02</w:t>
      </w:r>
      <w:r w:rsidR="004E0B54">
        <w:rPr>
          <w:rFonts w:ascii="宋体" w:hAnsi="宋体"/>
          <w:sz w:val="24"/>
        </w:rPr>
        <w:t>2</w:t>
      </w:r>
      <w:r w:rsidRPr="00D33BF1">
        <w:rPr>
          <w:rFonts w:ascii="宋体" w:hAnsi="宋体" w:hint="eastAsia"/>
          <w:sz w:val="24"/>
        </w:rPr>
        <w:t>年4月2</w:t>
      </w:r>
      <w:r w:rsidRPr="00D33BF1">
        <w:rPr>
          <w:rFonts w:ascii="宋体" w:hAnsi="宋体"/>
          <w:sz w:val="24"/>
        </w:rPr>
        <w:t>7</w:t>
      </w:r>
      <w:r w:rsidRPr="00D33BF1">
        <w:rPr>
          <w:rFonts w:ascii="宋体" w:hAnsi="宋体" w:hint="eastAsia"/>
          <w:sz w:val="24"/>
        </w:rPr>
        <w:t>日召开了第七届监事会第</w:t>
      </w:r>
      <w:r w:rsidR="004E0B54">
        <w:rPr>
          <w:rFonts w:ascii="宋体" w:hAnsi="宋体" w:hint="eastAsia"/>
          <w:sz w:val="24"/>
        </w:rPr>
        <w:t>十三</w:t>
      </w:r>
      <w:r w:rsidRPr="00D33BF1">
        <w:rPr>
          <w:rFonts w:ascii="宋体" w:hAnsi="宋体" w:hint="eastAsia"/>
          <w:sz w:val="24"/>
        </w:rPr>
        <w:t>次会议，审议通过了《公司</w:t>
      </w:r>
      <w:r w:rsidR="004E0B54">
        <w:rPr>
          <w:rFonts w:ascii="宋体" w:hAnsi="宋体" w:hint="eastAsia"/>
          <w:sz w:val="24"/>
        </w:rPr>
        <w:t>2021年度</w:t>
      </w:r>
      <w:r w:rsidRPr="00D33BF1">
        <w:rPr>
          <w:rFonts w:ascii="宋体" w:hAnsi="宋体" w:hint="eastAsia"/>
          <w:sz w:val="24"/>
        </w:rPr>
        <w:t>利润分配方案（预案）》，监事会认为：</w:t>
      </w:r>
      <w:r w:rsidR="004E0B54" w:rsidRPr="004E0B54">
        <w:rPr>
          <w:rFonts w:ascii="宋体" w:hAnsi="宋体" w:hint="eastAsia"/>
          <w:sz w:val="24"/>
        </w:rPr>
        <w:t>公司2021年度利润分配预案符合公司实际情况，不存在损害股东利益，特别是中小股东利益的情况，符合相关法律法规及《公司章程》的规定，有利于公司持续、稳定、健康发展。监事会同意《公司 2021 年度利润分配方案（预案）》。</w:t>
      </w:r>
    </w:p>
    <w:p w:rsidR="002E6521" w:rsidRPr="007C4FF3" w:rsidRDefault="002E6521" w:rsidP="002E6521">
      <w:pPr>
        <w:adjustRightInd w:val="0"/>
        <w:spacing w:line="360" w:lineRule="auto"/>
        <w:ind w:firstLineChars="200" w:firstLine="482"/>
        <w:rPr>
          <w:rFonts w:ascii="宋体" w:hAnsi="宋体"/>
          <w:b/>
          <w:sz w:val="24"/>
        </w:rPr>
      </w:pPr>
      <w:r w:rsidRPr="007C4FF3">
        <w:rPr>
          <w:rFonts w:ascii="宋体" w:hAnsi="宋体" w:hint="eastAsia"/>
          <w:b/>
          <w:sz w:val="24"/>
        </w:rPr>
        <w:t>四</w:t>
      </w:r>
      <w:r w:rsidRPr="007C4FF3">
        <w:rPr>
          <w:rFonts w:ascii="宋体" w:hAnsi="宋体"/>
          <w:b/>
          <w:sz w:val="24"/>
        </w:rPr>
        <w:t>、相关提示</w:t>
      </w:r>
    </w:p>
    <w:p w:rsidR="002E6521" w:rsidRPr="002E6521" w:rsidRDefault="002E6521" w:rsidP="002E6521">
      <w:pPr>
        <w:adjustRightInd w:val="0"/>
        <w:spacing w:line="360" w:lineRule="auto"/>
        <w:ind w:firstLineChars="200" w:firstLine="480"/>
        <w:rPr>
          <w:rFonts w:ascii="宋体" w:hAnsi="宋体"/>
          <w:sz w:val="24"/>
        </w:rPr>
      </w:pPr>
      <w:r w:rsidRPr="007C4FF3">
        <w:rPr>
          <w:rFonts w:ascii="宋体" w:hAnsi="宋体"/>
          <w:sz w:val="24"/>
        </w:rPr>
        <w:t>公司</w:t>
      </w:r>
      <w:r w:rsidR="004E0B54">
        <w:rPr>
          <w:rFonts w:ascii="宋体" w:hAnsi="宋体"/>
          <w:sz w:val="24"/>
        </w:rPr>
        <w:t>2021年度</w:t>
      </w:r>
      <w:r w:rsidRPr="007C4FF3">
        <w:rPr>
          <w:rFonts w:ascii="宋体" w:hAnsi="宋体"/>
          <w:sz w:val="24"/>
        </w:rPr>
        <w:t>利润分</w:t>
      </w:r>
      <w:r w:rsidRPr="002E6521">
        <w:rPr>
          <w:rFonts w:ascii="宋体" w:hAnsi="宋体"/>
          <w:sz w:val="24"/>
        </w:rPr>
        <w:t>配</w:t>
      </w:r>
      <w:r w:rsidR="00FF41C7">
        <w:rPr>
          <w:rFonts w:ascii="宋体" w:hAnsi="宋体" w:hint="eastAsia"/>
          <w:sz w:val="24"/>
        </w:rPr>
        <w:t>方案（</w:t>
      </w:r>
      <w:r w:rsidR="00FF41C7" w:rsidRPr="002E6521">
        <w:rPr>
          <w:rFonts w:ascii="宋体" w:hAnsi="宋体"/>
          <w:sz w:val="24"/>
        </w:rPr>
        <w:t>预案</w:t>
      </w:r>
      <w:r w:rsidR="00FF41C7">
        <w:rPr>
          <w:rFonts w:ascii="宋体" w:hAnsi="宋体" w:hint="eastAsia"/>
          <w:sz w:val="24"/>
        </w:rPr>
        <w:t>）</w:t>
      </w:r>
      <w:r w:rsidRPr="002E6521">
        <w:rPr>
          <w:rFonts w:ascii="宋体" w:hAnsi="宋体"/>
          <w:sz w:val="24"/>
        </w:rPr>
        <w:t>尚需提交公司202</w:t>
      </w:r>
      <w:r w:rsidR="00406E82">
        <w:rPr>
          <w:rFonts w:ascii="宋体" w:hAnsi="宋体"/>
          <w:sz w:val="24"/>
        </w:rPr>
        <w:t>1</w:t>
      </w:r>
      <w:r w:rsidR="007C4FF3">
        <w:rPr>
          <w:rFonts w:ascii="宋体" w:hAnsi="宋体" w:hint="eastAsia"/>
          <w:sz w:val="24"/>
        </w:rPr>
        <w:t>年</w:t>
      </w:r>
      <w:r w:rsidRPr="002E6521">
        <w:rPr>
          <w:rFonts w:ascii="宋体" w:hAnsi="宋体"/>
          <w:sz w:val="24"/>
        </w:rPr>
        <w:t>年度股东大会审议。</w:t>
      </w:r>
    </w:p>
    <w:p w:rsidR="00A52455" w:rsidRPr="007766BB" w:rsidRDefault="00A52455" w:rsidP="00A52455">
      <w:pPr>
        <w:adjustRightInd w:val="0"/>
        <w:spacing w:line="360" w:lineRule="auto"/>
        <w:ind w:firstLineChars="200" w:firstLine="480"/>
        <w:jc w:val="left"/>
        <w:rPr>
          <w:rFonts w:ascii="宋体" w:hAnsi="宋体"/>
          <w:sz w:val="24"/>
        </w:rPr>
      </w:pPr>
      <w:r w:rsidRPr="007766BB">
        <w:rPr>
          <w:rFonts w:ascii="宋体" w:hAnsi="宋体" w:hint="eastAsia"/>
          <w:sz w:val="24"/>
        </w:rPr>
        <w:t>特此公告</w:t>
      </w:r>
      <w:r w:rsidR="00CA24C3">
        <w:rPr>
          <w:rFonts w:ascii="宋体" w:hAnsi="宋体" w:hint="eastAsia"/>
          <w:sz w:val="24"/>
        </w:rPr>
        <w:t>。</w:t>
      </w:r>
    </w:p>
    <w:p w:rsidR="00A52455" w:rsidRDefault="00A52455" w:rsidP="00A52455">
      <w:pPr>
        <w:adjustRightInd w:val="0"/>
        <w:spacing w:beforeLines="100" w:before="312" w:line="360" w:lineRule="auto"/>
        <w:ind w:firstLineChars="200" w:firstLine="480"/>
        <w:jc w:val="left"/>
        <w:rPr>
          <w:rFonts w:ascii="宋体" w:hAnsi="宋体"/>
          <w:bCs/>
          <w:sz w:val="24"/>
        </w:rPr>
      </w:pPr>
      <w:r>
        <w:rPr>
          <w:rFonts w:ascii="宋体" w:hAnsi="宋体" w:hint="eastAsia"/>
          <w:bCs/>
          <w:sz w:val="24"/>
        </w:rPr>
        <w:t xml:space="preserve">                             陕西航天动力高科技股份有限公司董事会</w:t>
      </w:r>
    </w:p>
    <w:p w:rsidR="00896BA0" w:rsidRPr="004E0B54" w:rsidRDefault="00A52455" w:rsidP="000623AA">
      <w:pPr>
        <w:spacing w:line="360" w:lineRule="auto"/>
        <w:rPr>
          <w:rFonts w:ascii="宋体" w:hAnsi="宋体"/>
          <w:bCs/>
          <w:sz w:val="24"/>
        </w:rPr>
      </w:pPr>
      <w:r>
        <w:rPr>
          <w:rFonts w:ascii="宋体" w:hAnsi="宋体" w:hint="eastAsia"/>
          <w:bCs/>
          <w:sz w:val="24"/>
        </w:rPr>
        <w:t xml:space="preserve">                                            </w:t>
      </w:r>
      <w:r w:rsidRPr="004E0B54">
        <w:rPr>
          <w:rFonts w:ascii="宋体" w:hAnsi="宋体" w:hint="eastAsia"/>
          <w:bCs/>
          <w:sz w:val="24"/>
        </w:rPr>
        <w:t xml:space="preserve"> 202</w:t>
      </w:r>
      <w:r w:rsidR="00D825AC">
        <w:rPr>
          <w:rFonts w:ascii="宋体" w:hAnsi="宋体"/>
          <w:bCs/>
          <w:sz w:val="24"/>
        </w:rPr>
        <w:t>2</w:t>
      </w:r>
      <w:r w:rsidRPr="004E0B54">
        <w:rPr>
          <w:rFonts w:ascii="宋体" w:hAnsi="宋体" w:hint="eastAsia"/>
          <w:bCs/>
          <w:sz w:val="24"/>
        </w:rPr>
        <w:t>年</w:t>
      </w:r>
      <w:r w:rsidR="007766BB" w:rsidRPr="004E0B54">
        <w:rPr>
          <w:rFonts w:ascii="宋体" w:hAnsi="宋体"/>
          <w:bCs/>
          <w:sz w:val="24"/>
        </w:rPr>
        <w:t>4</w:t>
      </w:r>
      <w:r w:rsidRPr="004E0B54">
        <w:rPr>
          <w:rFonts w:ascii="宋体" w:hAnsi="宋体"/>
          <w:bCs/>
          <w:sz w:val="24"/>
        </w:rPr>
        <w:t>月2</w:t>
      </w:r>
      <w:r w:rsidR="007D09B5" w:rsidRPr="004E0B54">
        <w:rPr>
          <w:rFonts w:ascii="宋体" w:hAnsi="宋体"/>
          <w:bCs/>
          <w:sz w:val="24"/>
        </w:rPr>
        <w:t>9</w:t>
      </w:r>
      <w:r w:rsidRPr="004E0B54">
        <w:rPr>
          <w:rFonts w:ascii="宋体" w:hAnsi="宋体" w:hint="eastAsia"/>
          <w:bCs/>
          <w:sz w:val="24"/>
        </w:rPr>
        <w:t>日</w:t>
      </w:r>
    </w:p>
    <w:sectPr w:rsidR="00896BA0" w:rsidRPr="004E0B54">
      <w:headerReference w:type="default" r:id="rId7"/>
      <w:footerReference w:type="even" r:id="rId8"/>
      <w:footerReference w:type="default" r:id="rId9"/>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F39" w:rsidRDefault="00913F39" w:rsidP="00A52455">
      <w:r>
        <w:separator/>
      </w:r>
    </w:p>
  </w:endnote>
  <w:endnote w:type="continuationSeparator" w:id="0">
    <w:p w:rsidR="00913F39" w:rsidRDefault="00913F39" w:rsidP="00A5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仿宋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30E" w:rsidRDefault="00E72B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130E" w:rsidRDefault="00913F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30E" w:rsidRDefault="00E72B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25AC">
      <w:rPr>
        <w:rStyle w:val="a7"/>
        <w:noProof/>
      </w:rPr>
      <w:t>1</w:t>
    </w:r>
    <w:r>
      <w:rPr>
        <w:rStyle w:val="a7"/>
      </w:rPr>
      <w:fldChar w:fldCharType="end"/>
    </w:r>
  </w:p>
  <w:p w:rsidR="0063130E" w:rsidRDefault="00913F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F39" w:rsidRDefault="00913F39" w:rsidP="00A52455">
      <w:r>
        <w:separator/>
      </w:r>
    </w:p>
  </w:footnote>
  <w:footnote w:type="continuationSeparator" w:id="0">
    <w:p w:rsidR="00913F39" w:rsidRDefault="00913F39" w:rsidP="00A5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30E" w:rsidRDefault="00E72B99">
    <w:pPr>
      <w:pBdr>
        <w:bottom w:val="single" w:sz="4" w:space="1" w:color="auto"/>
      </w:pBdr>
      <w:rPr>
        <w:b/>
      </w:rPr>
    </w:pPr>
    <w:r>
      <w:rPr>
        <w:rFonts w:hint="eastAsia"/>
        <w:b/>
      </w:rPr>
      <w:t>证券代码：</w:t>
    </w:r>
    <w:r>
      <w:rPr>
        <w:rFonts w:hint="eastAsia"/>
        <w:b/>
      </w:rPr>
      <w:t xml:space="preserve">600343              </w:t>
    </w:r>
    <w:r>
      <w:rPr>
        <w:rFonts w:hint="eastAsia"/>
        <w:b/>
      </w:rPr>
      <w:t>股票简称：航天动力</w:t>
    </w:r>
    <w:r>
      <w:rPr>
        <w:rFonts w:hint="eastAsia"/>
        <w:b/>
      </w:rPr>
      <w:t xml:space="preserve">                 </w:t>
    </w:r>
    <w:r>
      <w:rPr>
        <w:rFonts w:hint="eastAsia"/>
        <w:b/>
      </w:rPr>
      <w:t>编号：临</w:t>
    </w:r>
    <w:r w:rsidR="009806BC">
      <w:rPr>
        <w:rFonts w:hint="eastAsia"/>
        <w:b/>
      </w:rPr>
      <w:t>202</w:t>
    </w:r>
    <w:r w:rsidR="00676ED0">
      <w:rPr>
        <w:b/>
      </w:rPr>
      <w:t>2</w:t>
    </w:r>
    <w:r>
      <w:rPr>
        <w:rFonts w:hint="eastAsia"/>
        <w:b/>
      </w:rPr>
      <w:t>-</w:t>
    </w:r>
    <w:r w:rsidR="00101992">
      <w:rPr>
        <w:b/>
      </w:rPr>
      <w:t>0</w:t>
    </w:r>
    <w:r w:rsidR="001C44DB">
      <w:rPr>
        <w:b/>
      </w:rPr>
      <w:t>1</w:t>
    </w:r>
    <w:r w:rsidR="008C22BB">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6009"/>
    <w:multiLevelType w:val="hybridMultilevel"/>
    <w:tmpl w:val="EE0E1A90"/>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start w:val="1"/>
      <w:numFmt w:val="bullet"/>
      <w:lvlText w:val=""/>
      <w:lvlJc w:val="left"/>
      <w:pPr>
        <w:tabs>
          <w:tab w:val="num" w:pos="1378"/>
        </w:tabs>
        <w:ind w:left="1378" w:hanging="420"/>
      </w:pPr>
      <w:rPr>
        <w:rFonts w:ascii="Wingdings" w:hAnsi="Wingdings" w:hint="default"/>
      </w:rPr>
    </w:lvl>
    <w:lvl w:ilvl="2" w:tplc="04090005">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55"/>
    <w:rsid w:val="000351F6"/>
    <w:rsid w:val="00047101"/>
    <w:rsid w:val="000623AA"/>
    <w:rsid w:val="00080B49"/>
    <w:rsid w:val="000B670C"/>
    <w:rsid w:val="000D3253"/>
    <w:rsid w:val="000E3215"/>
    <w:rsid w:val="00101992"/>
    <w:rsid w:val="001019BD"/>
    <w:rsid w:val="001070B3"/>
    <w:rsid w:val="00142C75"/>
    <w:rsid w:val="00147BD8"/>
    <w:rsid w:val="00151355"/>
    <w:rsid w:val="00152116"/>
    <w:rsid w:val="001527EF"/>
    <w:rsid w:val="00155F8F"/>
    <w:rsid w:val="00165B08"/>
    <w:rsid w:val="001C44DB"/>
    <w:rsid w:val="001D5876"/>
    <w:rsid w:val="001E3B5A"/>
    <w:rsid w:val="00233FC6"/>
    <w:rsid w:val="00237967"/>
    <w:rsid w:val="00265633"/>
    <w:rsid w:val="00277DAE"/>
    <w:rsid w:val="002802F8"/>
    <w:rsid w:val="00293F99"/>
    <w:rsid w:val="0029688D"/>
    <w:rsid w:val="002D2204"/>
    <w:rsid w:val="002E6521"/>
    <w:rsid w:val="002F6117"/>
    <w:rsid w:val="00350004"/>
    <w:rsid w:val="0035323D"/>
    <w:rsid w:val="00363292"/>
    <w:rsid w:val="00375156"/>
    <w:rsid w:val="003D1865"/>
    <w:rsid w:val="003E55FD"/>
    <w:rsid w:val="003F6278"/>
    <w:rsid w:val="00406CDF"/>
    <w:rsid w:val="00406E82"/>
    <w:rsid w:val="00430421"/>
    <w:rsid w:val="004426C0"/>
    <w:rsid w:val="00456D8E"/>
    <w:rsid w:val="00493EB5"/>
    <w:rsid w:val="004D01DC"/>
    <w:rsid w:val="004E0B54"/>
    <w:rsid w:val="00537BEE"/>
    <w:rsid w:val="005649EA"/>
    <w:rsid w:val="00582840"/>
    <w:rsid w:val="005D599D"/>
    <w:rsid w:val="00603537"/>
    <w:rsid w:val="00612460"/>
    <w:rsid w:val="0065654F"/>
    <w:rsid w:val="00676ED0"/>
    <w:rsid w:val="006961C5"/>
    <w:rsid w:val="00696A65"/>
    <w:rsid w:val="006B5C39"/>
    <w:rsid w:val="006C18F9"/>
    <w:rsid w:val="006D0C81"/>
    <w:rsid w:val="006D345B"/>
    <w:rsid w:val="00700921"/>
    <w:rsid w:val="00721954"/>
    <w:rsid w:val="00724D9B"/>
    <w:rsid w:val="00726C1E"/>
    <w:rsid w:val="00742B8C"/>
    <w:rsid w:val="00766C3B"/>
    <w:rsid w:val="007766BB"/>
    <w:rsid w:val="00791DD9"/>
    <w:rsid w:val="00794BF3"/>
    <w:rsid w:val="00795C04"/>
    <w:rsid w:val="007C4FF3"/>
    <w:rsid w:val="007D09B5"/>
    <w:rsid w:val="007E68C4"/>
    <w:rsid w:val="007E6E0A"/>
    <w:rsid w:val="007F4767"/>
    <w:rsid w:val="008079A6"/>
    <w:rsid w:val="0082183F"/>
    <w:rsid w:val="00856344"/>
    <w:rsid w:val="0089339D"/>
    <w:rsid w:val="00896BA0"/>
    <w:rsid w:val="008C22BB"/>
    <w:rsid w:val="008E7471"/>
    <w:rsid w:val="00900DD7"/>
    <w:rsid w:val="00913F39"/>
    <w:rsid w:val="00915E62"/>
    <w:rsid w:val="0091708A"/>
    <w:rsid w:val="00934F67"/>
    <w:rsid w:val="00945E86"/>
    <w:rsid w:val="00947094"/>
    <w:rsid w:val="009471F3"/>
    <w:rsid w:val="009514BF"/>
    <w:rsid w:val="009806BC"/>
    <w:rsid w:val="009A42E2"/>
    <w:rsid w:val="009A6E7D"/>
    <w:rsid w:val="009A7599"/>
    <w:rsid w:val="009B4466"/>
    <w:rsid w:val="009D12A6"/>
    <w:rsid w:val="009D2D5A"/>
    <w:rsid w:val="00A10780"/>
    <w:rsid w:val="00A20435"/>
    <w:rsid w:val="00A208EC"/>
    <w:rsid w:val="00A52455"/>
    <w:rsid w:val="00A819E8"/>
    <w:rsid w:val="00A843B2"/>
    <w:rsid w:val="00A90F30"/>
    <w:rsid w:val="00A91DA9"/>
    <w:rsid w:val="00AA30AD"/>
    <w:rsid w:val="00AB06A7"/>
    <w:rsid w:val="00AC67A5"/>
    <w:rsid w:val="00AC760A"/>
    <w:rsid w:val="00AC7F29"/>
    <w:rsid w:val="00AE38C6"/>
    <w:rsid w:val="00B07165"/>
    <w:rsid w:val="00B369F8"/>
    <w:rsid w:val="00B42812"/>
    <w:rsid w:val="00B71047"/>
    <w:rsid w:val="00B860BA"/>
    <w:rsid w:val="00BD63D7"/>
    <w:rsid w:val="00BE6784"/>
    <w:rsid w:val="00C00AAD"/>
    <w:rsid w:val="00C023D8"/>
    <w:rsid w:val="00C10A2B"/>
    <w:rsid w:val="00C16180"/>
    <w:rsid w:val="00C46ABB"/>
    <w:rsid w:val="00C61DDF"/>
    <w:rsid w:val="00CA24C3"/>
    <w:rsid w:val="00CB7488"/>
    <w:rsid w:val="00CC25D0"/>
    <w:rsid w:val="00D061BD"/>
    <w:rsid w:val="00D10F08"/>
    <w:rsid w:val="00D1785A"/>
    <w:rsid w:val="00D33BF1"/>
    <w:rsid w:val="00D825AC"/>
    <w:rsid w:val="00D96487"/>
    <w:rsid w:val="00D9714A"/>
    <w:rsid w:val="00DB49A2"/>
    <w:rsid w:val="00DE3301"/>
    <w:rsid w:val="00DE4E25"/>
    <w:rsid w:val="00E25B6A"/>
    <w:rsid w:val="00E55142"/>
    <w:rsid w:val="00E65CBE"/>
    <w:rsid w:val="00E707D3"/>
    <w:rsid w:val="00E72474"/>
    <w:rsid w:val="00E72B99"/>
    <w:rsid w:val="00E83CBD"/>
    <w:rsid w:val="00EA66BC"/>
    <w:rsid w:val="00ED1C0D"/>
    <w:rsid w:val="00F86781"/>
    <w:rsid w:val="00F90E14"/>
    <w:rsid w:val="00F92D85"/>
    <w:rsid w:val="00F968B1"/>
    <w:rsid w:val="00FD3209"/>
    <w:rsid w:val="00FE6BCF"/>
    <w:rsid w:val="00FF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2A4D3-ACD3-4842-83D7-048DC4DF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4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2455"/>
    <w:pPr>
      <w:ind w:firstLineChars="200" w:firstLine="482"/>
    </w:pPr>
    <w:rPr>
      <w:rFonts w:eastAsia="仿宋_GB2312"/>
      <w:b/>
      <w:bCs/>
      <w:sz w:val="24"/>
      <w:szCs w:val="28"/>
    </w:rPr>
  </w:style>
  <w:style w:type="character" w:customStyle="1" w:styleId="a4">
    <w:name w:val="正文文本缩进 字符"/>
    <w:basedOn w:val="a0"/>
    <w:link w:val="a3"/>
    <w:rsid w:val="00A52455"/>
    <w:rPr>
      <w:rFonts w:ascii="Times New Roman" w:eastAsia="仿宋_GB2312" w:hAnsi="Times New Roman" w:cs="Times New Roman"/>
      <w:b/>
      <w:bCs/>
      <w:sz w:val="24"/>
      <w:szCs w:val="28"/>
    </w:rPr>
  </w:style>
  <w:style w:type="paragraph" w:styleId="a5">
    <w:name w:val="footer"/>
    <w:basedOn w:val="a"/>
    <w:link w:val="a6"/>
    <w:rsid w:val="00A52455"/>
    <w:pPr>
      <w:tabs>
        <w:tab w:val="center" w:pos="4153"/>
        <w:tab w:val="right" w:pos="8306"/>
      </w:tabs>
      <w:snapToGrid w:val="0"/>
      <w:jc w:val="left"/>
    </w:pPr>
    <w:rPr>
      <w:sz w:val="18"/>
      <w:szCs w:val="18"/>
    </w:rPr>
  </w:style>
  <w:style w:type="character" w:customStyle="1" w:styleId="a6">
    <w:name w:val="页脚 字符"/>
    <w:basedOn w:val="a0"/>
    <w:link w:val="a5"/>
    <w:rsid w:val="00A52455"/>
    <w:rPr>
      <w:rFonts w:ascii="Times New Roman" w:eastAsia="宋体" w:hAnsi="Times New Roman" w:cs="Times New Roman"/>
      <w:sz w:val="18"/>
      <w:szCs w:val="18"/>
    </w:rPr>
  </w:style>
  <w:style w:type="character" w:styleId="a7">
    <w:name w:val="page number"/>
    <w:basedOn w:val="a0"/>
    <w:rsid w:val="00A52455"/>
  </w:style>
  <w:style w:type="paragraph" w:styleId="a8">
    <w:name w:val="List Paragraph"/>
    <w:basedOn w:val="a"/>
    <w:uiPriority w:val="34"/>
    <w:qFormat/>
    <w:rsid w:val="00A52455"/>
    <w:pPr>
      <w:ind w:firstLineChars="200" w:firstLine="420"/>
    </w:pPr>
  </w:style>
  <w:style w:type="paragraph" w:styleId="a9">
    <w:name w:val="header"/>
    <w:basedOn w:val="a"/>
    <w:link w:val="aa"/>
    <w:uiPriority w:val="99"/>
    <w:unhideWhenUsed/>
    <w:rsid w:val="00A5245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A52455"/>
    <w:rPr>
      <w:rFonts w:ascii="Times New Roman" w:eastAsia="宋体" w:hAnsi="Times New Roman" w:cs="Times New Roman"/>
      <w:sz w:val="18"/>
      <w:szCs w:val="18"/>
    </w:rPr>
  </w:style>
  <w:style w:type="table" w:styleId="ab">
    <w:name w:val="Table Grid"/>
    <w:basedOn w:val="a1"/>
    <w:uiPriority w:val="39"/>
    <w:rsid w:val="007D09B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26</cp:revision>
  <dcterms:created xsi:type="dcterms:W3CDTF">2021-04-20T03:16:00Z</dcterms:created>
  <dcterms:modified xsi:type="dcterms:W3CDTF">2022-04-28T05:07:00Z</dcterms:modified>
</cp:coreProperties>
</file>