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DA4C48" w14:textId="77777777" w:rsidR="00E9734D" w:rsidRPr="00F76472" w:rsidRDefault="00E9734D" w:rsidP="00F76472">
      <w:pPr>
        <w:spacing w:line="360" w:lineRule="auto"/>
        <w:ind w:firstLineChars="200" w:firstLine="643"/>
        <w:jc w:val="center"/>
        <w:rPr>
          <w:rFonts w:ascii="黑体" w:eastAsia="黑体" w:hAnsi="黑体"/>
          <w:b/>
          <w:color w:val="FF0000"/>
          <w:sz w:val="32"/>
          <w:szCs w:val="32"/>
        </w:rPr>
      </w:pPr>
      <w:r w:rsidRPr="00F76472">
        <w:rPr>
          <w:rFonts w:ascii="黑体" w:eastAsia="黑体" w:hAnsi="黑体"/>
          <w:b/>
          <w:color w:val="FF0000"/>
          <w:sz w:val="32"/>
          <w:szCs w:val="32"/>
        </w:rPr>
        <w:t>陕西航天动力高科技股份有限公司</w:t>
      </w:r>
    </w:p>
    <w:p w14:paraId="75AD6468" w14:textId="4FE55800" w:rsidR="00E9734D" w:rsidRPr="00F76472" w:rsidRDefault="00146121" w:rsidP="00F76472">
      <w:pPr>
        <w:spacing w:line="360" w:lineRule="auto"/>
        <w:ind w:firstLineChars="200" w:firstLine="643"/>
        <w:jc w:val="center"/>
        <w:rPr>
          <w:rFonts w:ascii="黑体" w:eastAsia="黑体" w:hAnsi="黑体"/>
          <w:b/>
          <w:color w:val="FF0000"/>
          <w:sz w:val="32"/>
          <w:szCs w:val="32"/>
        </w:rPr>
      </w:pPr>
      <w:r>
        <w:rPr>
          <w:rFonts w:ascii="黑体" w:eastAsia="黑体" w:hAnsi="黑体"/>
          <w:b/>
          <w:bCs/>
          <w:color w:val="FF0000"/>
          <w:sz w:val="32"/>
          <w:szCs w:val="32"/>
        </w:rPr>
        <w:t>2022</w:t>
      </w:r>
      <w:r w:rsidR="00740464" w:rsidRPr="00F76472">
        <w:rPr>
          <w:rFonts w:ascii="黑体" w:eastAsia="黑体" w:hAnsi="黑体"/>
          <w:b/>
          <w:bCs/>
          <w:color w:val="FF0000"/>
          <w:sz w:val="32"/>
          <w:szCs w:val="32"/>
        </w:rPr>
        <w:t>年度</w:t>
      </w:r>
      <w:r w:rsidR="00E9734D" w:rsidRPr="00F76472">
        <w:rPr>
          <w:rFonts w:ascii="黑体" w:eastAsia="黑体" w:hAnsi="黑体"/>
          <w:b/>
          <w:bCs/>
          <w:color w:val="FF0000"/>
          <w:sz w:val="32"/>
          <w:szCs w:val="32"/>
        </w:rPr>
        <w:t>募集资金存放与使用情况专项报告</w:t>
      </w:r>
    </w:p>
    <w:p w14:paraId="17F1EC89" w14:textId="03B5B183" w:rsidR="00E9734D" w:rsidRPr="00F76472" w:rsidRDefault="00E9734D" w:rsidP="00F76472">
      <w:pPr>
        <w:pStyle w:val="a3"/>
        <w:spacing w:line="360" w:lineRule="auto"/>
        <w:rPr>
          <w:rFonts w:ascii="宋体" w:eastAsia="宋体" w:hAnsi="宋体"/>
          <w:color w:val="000000"/>
          <w:szCs w:val="24"/>
        </w:rPr>
      </w:pPr>
      <w:r w:rsidRPr="00F76472">
        <w:rPr>
          <w:rFonts w:ascii="宋体" w:eastAsia="宋体" w:hAnsi="宋体"/>
          <w:color w:val="000000"/>
          <w:szCs w:val="24"/>
        </w:rPr>
        <w:t>本公司董事会及全体董事保证本公告内容不存在任何虚假记载、误导性陈述或者重大遗漏，并对其内容的真实性、准确性和完整性承担</w:t>
      </w:r>
      <w:r w:rsidR="00146121">
        <w:rPr>
          <w:rFonts w:ascii="宋体" w:eastAsia="宋体" w:hAnsi="宋体" w:hint="eastAsia"/>
          <w:color w:val="000000"/>
          <w:szCs w:val="24"/>
        </w:rPr>
        <w:t>法律</w:t>
      </w:r>
      <w:r w:rsidRPr="00F76472">
        <w:rPr>
          <w:rFonts w:ascii="宋体" w:eastAsia="宋体" w:hAnsi="宋体"/>
          <w:color w:val="000000"/>
          <w:szCs w:val="24"/>
        </w:rPr>
        <w:t>责任。</w:t>
      </w:r>
    </w:p>
    <w:p w14:paraId="370BF5E6" w14:textId="77777777" w:rsidR="00E9734D" w:rsidRPr="00A85081" w:rsidRDefault="00E9734D" w:rsidP="00E9734D">
      <w:pPr>
        <w:pStyle w:val="a5"/>
        <w:spacing w:line="360" w:lineRule="auto"/>
        <w:ind w:firstLineChars="200" w:firstLine="480"/>
        <w:rPr>
          <w:rFonts w:ascii="Times New Roman" w:eastAsiaTheme="minorEastAsia" w:hAnsi="Times New Roman" w:cs="Times New Roman"/>
          <w:kern w:val="0"/>
          <w:sz w:val="24"/>
          <w:szCs w:val="24"/>
        </w:rPr>
      </w:pPr>
    </w:p>
    <w:p w14:paraId="60E53FE2" w14:textId="77777777" w:rsidR="00E9734D" w:rsidRDefault="00E9734D" w:rsidP="00E9734D">
      <w:pPr>
        <w:spacing w:line="360" w:lineRule="auto"/>
        <w:ind w:firstLineChars="200" w:firstLine="482"/>
        <w:rPr>
          <w:rFonts w:ascii="宋体" w:hAnsi="宋体"/>
          <w:b/>
          <w:bCs/>
          <w:color w:val="000000" w:themeColor="text1"/>
          <w:sz w:val="24"/>
        </w:rPr>
      </w:pPr>
      <w:r>
        <w:rPr>
          <w:rFonts w:ascii="宋体" w:hAnsi="宋体" w:hint="eastAsia"/>
          <w:b/>
          <w:bCs/>
          <w:color w:val="000000" w:themeColor="text1"/>
          <w:sz w:val="24"/>
        </w:rPr>
        <w:t>一、募集资金基本情况</w:t>
      </w:r>
    </w:p>
    <w:p w14:paraId="2F5EBC1B" w14:textId="77777777" w:rsidR="0065693E" w:rsidRPr="0065693E" w:rsidRDefault="0065693E" w:rsidP="0065693E">
      <w:pPr>
        <w:widowControl/>
        <w:spacing w:line="360" w:lineRule="auto"/>
        <w:ind w:firstLineChars="200" w:firstLine="480"/>
        <w:rPr>
          <w:rFonts w:ascii="宋体" w:hAnsi="宋体"/>
          <w:color w:val="000000"/>
          <w:kern w:val="0"/>
          <w:sz w:val="24"/>
        </w:rPr>
      </w:pPr>
      <w:r w:rsidRPr="0065693E">
        <w:rPr>
          <w:rFonts w:ascii="宋体" w:hAnsi="宋体" w:hint="eastAsia"/>
          <w:color w:val="000000"/>
          <w:kern w:val="0"/>
          <w:sz w:val="24"/>
        </w:rPr>
        <w:t>经中国证券监督管理委员会于 2012 年 9 月 21 日签发《关于核准陕西航天动力高科技股份有限公司非公开发行股票的批复》（证监许可〔2012〕1268号）核准公司向机构投资者及其他符合法律法规规定的投资者非公开发行合计不超过8,000万股人民币普通股，每股发行价格为人民币 12.59 元。公司实际发行7,942万股，募集资金总额计人民币 99,989.78 万元，扣除承销及保荐费用、发行登记费以及其他交易费用共计人民币 3,248.00 万元后，净募集资金共计人民币96,741.78万元，上述募集资金已于 2013 年 3 月 21 日由主承销商招商证券股份有限公司划入公司开设的募集资金专户，经中瑞岳华会计师事务所（特殊普通合伙）出具中瑞岳华验字[2013]第 0079 号《验资报告》验证。</w:t>
      </w:r>
    </w:p>
    <w:p w14:paraId="6063177F" w14:textId="77777777" w:rsidR="0065693E" w:rsidRPr="0065693E" w:rsidRDefault="0065693E" w:rsidP="0065693E">
      <w:pPr>
        <w:widowControl/>
        <w:spacing w:line="360" w:lineRule="auto"/>
        <w:ind w:firstLineChars="200" w:firstLine="480"/>
        <w:rPr>
          <w:rFonts w:ascii="宋体" w:hAnsi="宋体"/>
          <w:color w:val="000000"/>
          <w:kern w:val="0"/>
          <w:sz w:val="24"/>
        </w:rPr>
      </w:pPr>
      <w:r w:rsidRPr="0065693E">
        <w:rPr>
          <w:rFonts w:ascii="宋体" w:hAnsi="宋体" w:hint="eastAsia"/>
          <w:color w:val="000000"/>
          <w:kern w:val="0"/>
          <w:sz w:val="24"/>
        </w:rPr>
        <w:t>经2022年第二次临时股东大会审议通过，公司于2022年9月30日将铺底流动资金 3,836.00 万元转出以及将募集资金（含利息）14,456.56万元永久补充流动资金。截至2023年3月9日，公司已完成全部募集资金专用账户的销户手续。</w:t>
      </w:r>
    </w:p>
    <w:p w14:paraId="54894C1C" w14:textId="77777777" w:rsidR="0065693E" w:rsidRPr="0065693E" w:rsidRDefault="0065693E" w:rsidP="0065693E">
      <w:pPr>
        <w:widowControl/>
        <w:spacing w:line="360" w:lineRule="auto"/>
        <w:ind w:firstLineChars="200" w:firstLine="480"/>
        <w:rPr>
          <w:rFonts w:ascii="宋体" w:hAnsi="宋体" w:cs="宋体"/>
          <w:sz w:val="24"/>
        </w:rPr>
      </w:pPr>
      <w:r w:rsidRPr="0065693E">
        <w:rPr>
          <w:rFonts w:ascii="宋体" w:hAnsi="宋体" w:cs="宋体" w:hint="eastAsia"/>
          <w:sz w:val="24"/>
        </w:rPr>
        <w:t>截至2022年12月31日，募集资金使用及余额情况，如下：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54"/>
        <w:gridCol w:w="3936"/>
      </w:tblGrid>
      <w:tr w:rsidR="0065693E" w:rsidRPr="0065693E" w14:paraId="48C40571" w14:textId="77777777" w:rsidTr="007A1FD8">
        <w:trPr>
          <w:trHeight w:val="471"/>
        </w:trPr>
        <w:tc>
          <w:tcPr>
            <w:tcW w:w="4454" w:type="dxa"/>
            <w:vAlign w:val="center"/>
          </w:tcPr>
          <w:p w14:paraId="3239BA5F" w14:textId="77777777" w:rsidR="0065693E" w:rsidRPr="0065693E" w:rsidRDefault="0065693E" w:rsidP="0065693E">
            <w:pPr>
              <w:spacing w:line="360" w:lineRule="auto"/>
              <w:jc w:val="center"/>
              <w:rPr>
                <w:rFonts w:ascii="宋体" w:hAnsi="宋体" w:cs="宋体"/>
                <w:sz w:val="24"/>
              </w:rPr>
            </w:pPr>
            <w:r w:rsidRPr="0065693E">
              <w:rPr>
                <w:rFonts w:ascii="宋体" w:hAnsi="宋体" w:cs="宋体" w:hint="eastAsia"/>
                <w:b/>
                <w:bCs/>
                <w:sz w:val="24"/>
              </w:rPr>
              <w:t>项  目</w:t>
            </w:r>
          </w:p>
        </w:tc>
        <w:tc>
          <w:tcPr>
            <w:tcW w:w="3936" w:type="dxa"/>
            <w:vAlign w:val="center"/>
          </w:tcPr>
          <w:p w14:paraId="6BAF8D13" w14:textId="77777777" w:rsidR="0065693E" w:rsidRPr="0065693E" w:rsidRDefault="0065693E" w:rsidP="0065693E">
            <w:pPr>
              <w:spacing w:line="360" w:lineRule="auto"/>
              <w:jc w:val="center"/>
              <w:rPr>
                <w:rFonts w:ascii="宋体" w:hAnsi="宋体" w:cs="宋体"/>
                <w:sz w:val="24"/>
              </w:rPr>
            </w:pPr>
            <w:r w:rsidRPr="0065693E">
              <w:rPr>
                <w:rFonts w:ascii="宋体" w:hAnsi="宋体" w:cs="宋体" w:hint="eastAsia"/>
                <w:b/>
                <w:bCs/>
                <w:sz w:val="24"/>
              </w:rPr>
              <w:t>金额（万元）</w:t>
            </w:r>
          </w:p>
        </w:tc>
      </w:tr>
      <w:tr w:rsidR="0065693E" w:rsidRPr="0065693E" w14:paraId="4F938FA4" w14:textId="77777777" w:rsidTr="007A1FD8">
        <w:tc>
          <w:tcPr>
            <w:tcW w:w="4454" w:type="dxa"/>
            <w:vAlign w:val="center"/>
          </w:tcPr>
          <w:p w14:paraId="23119D7D" w14:textId="77777777" w:rsidR="0065693E" w:rsidRPr="0065693E" w:rsidRDefault="0065693E" w:rsidP="0065693E">
            <w:pPr>
              <w:spacing w:line="360" w:lineRule="auto"/>
              <w:jc w:val="center"/>
              <w:rPr>
                <w:rFonts w:ascii="宋体" w:hAnsi="宋体" w:cs="宋体"/>
                <w:sz w:val="24"/>
              </w:rPr>
            </w:pPr>
            <w:r w:rsidRPr="0065693E">
              <w:rPr>
                <w:rFonts w:ascii="宋体" w:hAnsi="宋体" w:cs="宋体" w:hint="eastAsia"/>
                <w:sz w:val="24"/>
              </w:rPr>
              <w:t>募集资金净额</w:t>
            </w:r>
          </w:p>
        </w:tc>
        <w:tc>
          <w:tcPr>
            <w:tcW w:w="3936" w:type="dxa"/>
            <w:vAlign w:val="center"/>
          </w:tcPr>
          <w:p w14:paraId="75D38B4A" w14:textId="77777777" w:rsidR="0065693E" w:rsidRPr="0065693E" w:rsidRDefault="0065693E" w:rsidP="0065693E">
            <w:pPr>
              <w:spacing w:line="360" w:lineRule="auto"/>
              <w:jc w:val="center"/>
              <w:rPr>
                <w:rFonts w:ascii="宋体" w:hAnsi="宋体" w:cs="宋体"/>
                <w:sz w:val="24"/>
              </w:rPr>
            </w:pPr>
            <w:r w:rsidRPr="0065693E">
              <w:rPr>
                <w:rFonts w:ascii="宋体" w:hAnsi="宋体" w:cs="宋体"/>
                <w:sz w:val="24"/>
              </w:rPr>
              <w:t>96,741.78</w:t>
            </w:r>
          </w:p>
        </w:tc>
      </w:tr>
      <w:tr w:rsidR="0065693E" w:rsidRPr="0065693E" w14:paraId="4015D27C" w14:textId="77777777" w:rsidTr="007A1FD8">
        <w:tc>
          <w:tcPr>
            <w:tcW w:w="4454" w:type="dxa"/>
            <w:vAlign w:val="center"/>
          </w:tcPr>
          <w:p w14:paraId="6AFA66DC" w14:textId="77777777" w:rsidR="0065693E" w:rsidRPr="0065693E" w:rsidRDefault="0065693E" w:rsidP="0065693E">
            <w:pPr>
              <w:spacing w:line="360" w:lineRule="auto"/>
              <w:jc w:val="center"/>
              <w:rPr>
                <w:rFonts w:ascii="宋体" w:hAnsi="宋体" w:cs="宋体"/>
                <w:sz w:val="24"/>
              </w:rPr>
            </w:pPr>
            <w:r w:rsidRPr="0065693E">
              <w:rPr>
                <w:rFonts w:ascii="宋体" w:hAnsi="宋体" w:cs="宋体" w:hint="eastAsia"/>
                <w:sz w:val="24"/>
              </w:rPr>
              <w:t>募集资金产生的利息</w:t>
            </w:r>
          </w:p>
        </w:tc>
        <w:tc>
          <w:tcPr>
            <w:tcW w:w="3936" w:type="dxa"/>
            <w:vAlign w:val="center"/>
          </w:tcPr>
          <w:p w14:paraId="2348EF6C" w14:textId="77777777" w:rsidR="0065693E" w:rsidRPr="0065693E" w:rsidRDefault="0065693E" w:rsidP="0065693E">
            <w:pPr>
              <w:spacing w:line="360" w:lineRule="auto"/>
              <w:jc w:val="center"/>
              <w:rPr>
                <w:rFonts w:ascii="宋体" w:hAnsi="宋体" w:cs="宋体"/>
                <w:sz w:val="24"/>
              </w:rPr>
            </w:pPr>
            <w:r w:rsidRPr="0065693E">
              <w:rPr>
                <w:rFonts w:ascii="宋体" w:hAnsi="宋体" w:cs="宋体"/>
                <w:sz w:val="24"/>
              </w:rPr>
              <w:t>13,290.70</w:t>
            </w:r>
          </w:p>
        </w:tc>
      </w:tr>
      <w:tr w:rsidR="0065693E" w:rsidRPr="0065693E" w14:paraId="4C0A4604" w14:textId="77777777" w:rsidTr="007A1FD8">
        <w:tc>
          <w:tcPr>
            <w:tcW w:w="4454" w:type="dxa"/>
            <w:vAlign w:val="center"/>
          </w:tcPr>
          <w:p w14:paraId="2038A721" w14:textId="77777777" w:rsidR="0065693E" w:rsidRPr="0065693E" w:rsidRDefault="0065693E" w:rsidP="0065693E">
            <w:pPr>
              <w:spacing w:line="360" w:lineRule="auto"/>
              <w:jc w:val="center"/>
              <w:rPr>
                <w:rFonts w:ascii="宋体" w:hAnsi="宋体" w:cs="宋体"/>
                <w:sz w:val="24"/>
              </w:rPr>
            </w:pPr>
            <w:r w:rsidRPr="0065693E">
              <w:rPr>
                <w:rFonts w:ascii="宋体" w:hAnsi="宋体" w:cs="宋体" w:hint="eastAsia"/>
                <w:sz w:val="24"/>
              </w:rPr>
              <w:t>募集资金累计使用</w:t>
            </w:r>
          </w:p>
        </w:tc>
        <w:tc>
          <w:tcPr>
            <w:tcW w:w="3936" w:type="dxa"/>
            <w:vAlign w:val="center"/>
          </w:tcPr>
          <w:p w14:paraId="38706CCA" w14:textId="77777777" w:rsidR="0065693E" w:rsidRPr="0065693E" w:rsidRDefault="0065693E" w:rsidP="0065693E">
            <w:pPr>
              <w:spacing w:line="360" w:lineRule="auto"/>
              <w:jc w:val="center"/>
              <w:rPr>
                <w:rFonts w:ascii="宋体" w:hAnsi="宋体" w:cs="宋体"/>
                <w:sz w:val="24"/>
              </w:rPr>
            </w:pPr>
            <w:r w:rsidRPr="0065693E">
              <w:rPr>
                <w:rFonts w:ascii="宋体" w:hAnsi="宋体" w:cs="宋体"/>
                <w:sz w:val="24"/>
              </w:rPr>
              <w:t>110,032.48</w:t>
            </w:r>
          </w:p>
        </w:tc>
      </w:tr>
      <w:tr w:rsidR="0065693E" w:rsidRPr="0065693E" w14:paraId="2043E255" w14:textId="77777777" w:rsidTr="007A1FD8">
        <w:tc>
          <w:tcPr>
            <w:tcW w:w="4454" w:type="dxa"/>
            <w:vAlign w:val="center"/>
          </w:tcPr>
          <w:p w14:paraId="412CEFFA" w14:textId="77777777" w:rsidR="0065693E" w:rsidRPr="0065693E" w:rsidRDefault="0065693E" w:rsidP="0065693E">
            <w:pPr>
              <w:spacing w:line="360" w:lineRule="auto"/>
              <w:jc w:val="center"/>
              <w:rPr>
                <w:rFonts w:ascii="宋体" w:hAnsi="宋体" w:cs="宋体"/>
                <w:sz w:val="24"/>
              </w:rPr>
            </w:pPr>
            <w:r w:rsidRPr="0065693E">
              <w:rPr>
                <w:rFonts w:ascii="宋体" w:hAnsi="宋体" w:cs="宋体" w:hint="eastAsia"/>
                <w:sz w:val="24"/>
              </w:rPr>
              <w:t>募集资金余额</w:t>
            </w:r>
          </w:p>
        </w:tc>
        <w:tc>
          <w:tcPr>
            <w:tcW w:w="3936" w:type="dxa"/>
            <w:vAlign w:val="center"/>
          </w:tcPr>
          <w:p w14:paraId="73FF3291" w14:textId="77777777" w:rsidR="0065693E" w:rsidRPr="0065693E" w:rsidRDefault="0065693E" w:rsidP="0065693E">
            <w:pPr>
              <w:spacing w:line="360" w:lineRule="auto"/>
              <w:jc w:val="center"/>
              <w:rPr>
                <w:rFonts w:ascii="宋体" w:hAnsi="宋体" w:cs="宋体"/>
                <w:sz w:val="24"/>
              </w:rPr>
            </w:pPr>
            <w:r w:rsidRPr="0065693E">
              <w:rPr>
                <w:rFonts w:ascii="宋体" w:hAnsi="宋体" w:cs="宋体" w:hint="eastAsia"/>
                <w:sz w:val="24"/>
              </w:rPr>
              <w:t>0</w:t>
            </w:r>
          </w:p>
        </w:tc>
      </w:tr>
    </w:tbl>
    <w:p w14:paraId="312125EA" w14:textId="48CA5217" w:rsidR="00E9734D" w:rsidRDefault="00146121" w:rsidP="00E9734D">
      <w:pPr>
        <w:widowControl/>
        <w:spacing w:line="360" w:lineRule="auto"/>
        <w:ind w:firstLineChars="200" w:firstLine="482"/>
        <w:rPr>
          <w:rFonts w:ascii="宋体" w:hAnsi="宋体"/>
          <w:b/>
          <w:color w:val="000000" w:themeColor="text1"/>
          <w:kern w:val="0"/>
          <w:sz w:val="24"/>
        </w:rPr>
      </w:pPr>
      <w:r>
        <w:rPr>
          <w:rFonts w:ascii="宋体" w:hAnsi="宋体"/>
          <w:b/>
          <w:color w:val="000000" w:themeColor="text1"/>
          <w:kern w:val="0"/>
          <w:sz w:val="24"/>
        </w:rPr>
        <w:t>二、</w:t>
      </w:r>
      <w:r w:rsidR="00E9734D">
        <w:rPr>
          <w:rFonts w:ascii="宋体" w:hAnsi="宋体"/>
          <w:b/>
          <w:color w:val="000000" w:themeColor="text1"/>
          <w:kern w:val="0"/>
          <w:sz w:val="24"/>
        </w:rPr>
        <w:t>募集资金管理情况</w:t>
      </w:r>
    </w:p>
    <w:p w14:paraId="4D6B7ABE" w14:textId="77777777" w:rsidR="0065693E" w:rsidRPr="0065693E" w:rsidRDefault="0065693E" w:rsidP="0065693E">
      <w:pPr>
        <w:widowControl/>
        <w:spacing w:line="360" w:lineRule="auto"/>
        <w:ind w:firstLineChars="200" w:firstLine="480"/>
        <w:jc w:val="left"/>
        <w:rPr>
          <w:rFonts w:ascii="宋体" w:hAnsi="宋体"/>
          <w:color w:val="000000" w:themeColor="text1"/>
          <w:kern w:val="0"/>
          <w:sz w:val="24"/>
        </w:rPr>
      </w:pPr>
      <w:r w:rsidRPr="0065693E">
        <w:rPr>
          <w:rFonts w:ascii="宋体" w:hAnsi="宋体" w:hint="eastAsia"/>
          <w:color w:val="000000" w:themeColor="text1"/>
          <w:kern w:val="0"/>
          <w:sz w:val="24"/>
        </w:rPr>
        <w:t>募集资金在各银行均设专户储存。</w:t>
      </w:r>
    </w:p>
    <w:p w14:paraId="5FB8484A" w14:textId="272FE283" w:rsidR="00BB48BB" w:rsidRDefault="0065693E" w:rsidP="0065693E">
      <w:pPr>
        <w:widowControl/>
        <w:spacing w:line="360" w:lineRule="auto"/>
        <w:ind w:firstLineChars="200" w:firstLine="480"/>
        <w:jc w:val="left"/>
        <w:rPr>
          <w:rFonts w:ascii="宋体" w:hAnsi="宋体"/>
          <w:color w:val="000000" w:themeColor="text1"/>
          <w:kern w:val="0"/>
          <w:sz w:val="24"/>
        </w:rPr>
      </w:pPr>
      <w:r w:rsidRPr="0065693E">
        <w:rPr>
          <w:rFonts w:ascii="宋体" w:hAnsi="宋体" w:hint="eastAsia"/>
          <w:color w:val="000000" w:themeColor="text1"/>
          <w:kern w:val="0"/>
          <w:sz w:val="24"/>
        </w:rPr>
        <w:t>针对非公开发行募集资金，公司与保荐人及商业银行于2013年4月1日签订《募集资金专户存储三方监管协议》，该项协议与《募集资金专户存储三方</w:t>
      </w:r>
      <w:r w:rsidRPr="0065693E">
        <w:rPr>
          <w:rFonts w:ascii="宋体" w:hAnsi="宋体" w:hint="eastAsia"/>
          <w:color w:val="000000" w:themeColor="text1"/>
          <w:kern w:val="0"/>
          <w:sz w:val="24"/>
        </w:rPr>
        <w:lastRenderedPageBreak/>
        <w:t>监管协议（范本）》不存在重大差异，募集</w:t>
      </w:r>
      <w:r>
        <w:rPr>
          <w:rFonts w:ascii="宋体" w:hAnsi="宋体" w:hint="eastAsia"/>
          <w:color w:val="000000" w:themeColor="text1"/>
          <w:kern w:val="0"/>
          <w:sz w:val="24"/>
        </w:rPr>
        <w:t>资金专户的管理完全按照《募集资金专户存储三方监管协议》要求管理</w:t>
      </w:r>
      <w:r w:rsidR="00BB48BB">
        <w:rPr>
          <w:rFonts w:ascii="宋体" w:hAnsi="宋体"/>
          <w:color w:val="000000" w:themeColor="text1"/>
          <w:kern w:val="0"/>
          <w:sz w:val="24"/>
        </w:rPr>
        <w:t>。</w:t>
      </w:r>
    </w:p>
    <w:p w14:paraId="3BBA2742" w14:textId="6251CB40" w:rsidR="00E9734D" w:rsidRDefault="00E9734D" w:rsidP="00E9734D">
      <w:pPr>
        <w:widowControl/>
        <w:spacing w:line="360" w:lineRule="auto"/>
        <w:ind w:firstLineChars="200" w:firstLine="482"/>
        <w:rPr>
          <w:rFonts w:ascii="宋体" w:hAnsi="宋体"/>
          <w:b/>
          <w:color w:val="000000" w:themeColor="text1"/>
          <w:kern w:val="0"/>
          <w:sz w:val="24"/>
        </w:rPr>
      </w:pPr>
      <w:r>
        <w:rPr>
          <w:rFonts w:ascii="宋体" w:hAnsi="宋体"/>
          <w:b/>
          <w:color w:val="000000" w:themeColor="text1"/>
          <w:kern w:val="0"/>
          <w:sz w:val="24"/>
        </w:rPr>
        <w:t>三、</w:t>
      </w:r>
      <w:r w:rsidR="00146121">
        <w:rPr>
          <w:rFonts w:ascii="宋体" w:hAnsi="宋体" w:hint="eastAsia"/>
          <w:b/>
          <w:color w:val="000000" w:themeColor="text1"/>
          <w:kern w:val="0"/>
          <w:sz w:val="24"/>
        </w:rPr>
        <w:t>本年度</w:t>
      </w:r>
      <w:r>
        <w:rPr>
          <w:rFonts w:ascii="宋体" w:hAnsi="宋体"/>
          <w:b/>
          <w:color w:val="000000" w:themeColor="text1"/>
          <w:kern w:val="0"/>
          <w:sz w:val="24"/>
        </w:rPr>
        <w:t>募集资金的实际使用情况</w:t>
      </w:r>
    </w:p>
    <w:p w14:paraId="297A8331" w14:textId="169EF55E" w:rsidR="0065693E" w:rsidRPr="0065693E" w:rsidRDefault="0065693E" w:rsidP="0065693E">
      <w:pPr>
        <w:widowControl/>
        <w:spacing w:line="360" w:lineRule="auto"/>
        <w:ind w:firstLineChars="200" w:firstLine="480"/>
        <w:rPr>
          <w:rFonts w:ascii="宋体" w:hAnsi="宋体" w:cs="宋体"/>
          <w:kern w:val="0"/>
          <w:sz w:val="24"/>
        </w:rPr>
      </w:pPr>
      <w:r w:rsidRPr="0065693E">
        <w:rPr>
          <w:rFonts w:ascii="宋体" w:hAnsi="宋体" w:cs="宋体" w:hint="eastAsia"/>
          <w:kern w:val="0"/>
          <w:sz w:val="24"/>
        </w:rPr>
        <w:t>（一）募集资金投资项目的资金使用情况</w:t>
      </w:r>
    </w:p>
    <w:p w14:paraId="5C07AE1D" w14:textId="77777777" w:rsidR="0065693E" w:rsidRPr="0065693E" w:rsidRDefault="0065693E" w:rsidP="0065693E">
      <w:pPr>
        <w:widowControl/>
        <w:spacing w:line="360" w:lineRule="auto"/>
        <w:ind w:firstLineChars="200" w:firstLine="480"/>
        <w:rPr>
          <w:rFonts w:ascii="宋体" w:hAnsi="宋体" w:cs="宋体"/>
          <w:kern w:val="0"/>
          <w:sz w:val="24"/>
        </w:rPr>
      </w:pPr>
      <w:r w:rsidRPr="0065693E">
        <w:rPr>
          <w:rFonts w:ascii="宋体" w:hAnsi="宋体" w:cs="宋体" w:hint="eastAsia"/>
          <w:kern w:val="0"/>
          <w:sz w:val="24"/>
        </w:rPr>
        <w:t>非公开发行募集资金投资项目的资金使用情况参见“非公开发行募集资金使用情况对照表”（附表1）。</w:t>
      </w:r>
    </w:p>
    <w:p w14:paraId="2DAF7B08" w14:textId="77777777" w:rsidR="0065693E" w:rsidRPr="0065693E" w:rsidRDefault="0065693E" w:rsidP="0065693E">
      <w:pPr>
        <w:widowControl/>
        <w:spacing w:line="360" w:lineRule="auto"/>
        <w:ind w:firstLineChars="200" w:firstLine="480"/>
        <w:rPr>
          <w:rFonts w:ascii="宋体" w:hAnsi="宋体" w:cs="宋体"/>
          <w:kern w:val="0"/>
          <w:sz w:val="24"/>
        </w:rPr>
      </w:pPr>
      <w:r w:rsidRPr="0065693E">
        <w:rPr>
          <w:rFonts w:ascii="宋体" w:hAnsi="宋体" w:cs="宋体" w:hint="eastAsia"/>
          <w:kern w:val="0"/>
          <w:sz w:val="24"/>
        </w:rPr>
        <w:t>汽车液力变矩器建设项目承诺投资总额为100,000.00万元，调整后投资总额为96,741.78万元，变更后总投资金额57,684.00万元，剩余募集资金永久补充流动资金用于归还母公司短期借款。</w:t>
      </w:r>
    </w:p>
    <w:p w14:paraId="400FBC58" w14:textId="383D6C52" w:rsidR="0065693E" w:rsidRPr="0065693E" w:rsidRDefault="0065693E" w:rsidP="0065693E">
      <w:pPr>
        <w:widowControl/>
        <w:spacing w:line="360" w:lineRule="auto"/>
        <w:ind w:firstLineChars="200" w:firstLine="480"/>
        <w:rPr>
          <w:rFonts w:ascii="宋体" w:hAnsi="宋体" w:cs="宋体"/>
          <w:kern w:val="0"/>
          <w:sz w:val="24"/>
        </w:rPr>
      </w:pPr>
      <w:r w:rsidRPr="0065693E">
        <w:rPr>
          <w:rFonts w:ascii="宋体" w:hAnsi="宋体" w:cs="宋体" w:hint="eastAsia"/>
          <w:kern w:val="0"/>
          <w:sz w:val="24"/>
        </w:rPr>
        <w:t>2022年度汽车液力变矩器建设项目竣工验收，因优化调整部分项目建设内容，实施后投资金额为45,157.92万元，结余募集资金（含利息） 14,456.56万元永久性补充流动资金。本期实际投入5,239.22万元，累计投入40,023.64 万元，截至期末投入进度88.63%。截至2022年12月31日累计投入金额与承诺投入金额的差额5</w:t>
      </w:r>
      <w:r w:rsidR="00216D0B">
        <w:rPr>
          <w:rFonts w:ascii="宋体" w:hAnsi="宋体" w:cs="宋体"/>
          <w:kern w:val="0"/>
          <w:sz w:val="24"/>
        </w:rPr>
        <w:t>,</w:t>
      </w:r>
      <w:r w:rsidRPr="0065693E">
        <w:rPr>
          <w:rFonts w:ascii="宋体" w:hAnsi="宋体" w:cs="宋体" w:hint="eastAsia"/>
          <w:kern w:val="0"/>
          <w:sz w:val="24"/>
        </w:rPr>
        <w:t>134.28万元，包括项目铺底流动资金3,836.00万元以及</w:t>
      </w:r>
      <w:proofErr w:type="gramStart"/>
      <w:r w:rsidRPr="0065693E">
        <w:rPr>
          <w:rFonts w:ascii="宋体" w:hAnsi="宋体" w:cs="宋体" w:hint="eastAsia"/>
          <w:kern w:val="0"/>
          <w:sz w:val="24"/>
        </w:rPr>
        <w:t>待支付</w:t>
      </w:r>
      <w:proofErr w:type="gramEnd"/>
      <w:r w:rsidRPr="0065693E">
        <w:rPr>
          <w:rFonts w:ascii="宋体" w:hAnsi="宋体" w:cs="宋体" w:hint="eastAsia"/>
          <w:kern w:val="0"/>
          <w:sz w:val="24"/>
        </w:rPr>
        <w:t>的生产线设备质保金1,298.28万元。</w:t>
      </w:r>
      <w:r w:rsidRPr="0065693E">
        <w:rPr>
          <w:rFonts w:ascii="Arial" w:hAnsi="宋体" w:cs="Arial" w:hint="eastAsia"/>
          <w:sz w:val="24"/>
        </w:rPr>
        <w:t xml:space="preserve">          </w:t>
      </w:r>
    </w:p>
    <w:p w14:paraId="36B95F06" w14:textId="77777777" w:rsidR="0065693E" w:rsidRPr="0065693E" w:rsidRDefault="0065693E" w:rsidP="0065693E">
      <w:pPr>
        <w:widowControl/>
        <w:spacing w:line="360" w:lineRule="auto"/>
        <w:ind w:firstLineChars="200" w:firstLine="480"/>
        <w:rPr>
          <w:rFonts w:ascii="宋体" w:hAnsi="宋体" w:cs="宋体"/>
          <w:kern w:val="0"/>
          <w:sz w:val="24"/>
        </w:rPr>
      </w:pPr>
      <w:r w:rsidRPr="0065693E">
        <w:rPr>
          <w:rFonts w:ascii="宋体" w:hAnsi="宋体" w:cs="宋体" w:hint="eastAsia"/>
          <w:kern w:val="0"/>
          <w:sz w:val="24"/>
        </w:rPr>
        <w:t>（二）</w:t>
      </w:r>
      <w:proofErr w:type="gramStart"/>
      <w:r w:rsidRPr="0065693E">
        <w:rPr>
          <w:rFonts w:ascii="宋体" w:hAnsi="宋体" w:cs="宋体" w:hint="eastAsia"/>
          <w:kern w:val="0"/>
          <w:sz w:val="24"/>
        </w:rPr>
        <w:t>募投项目</w:t>
      </w:r>
      <w:proofErr w:type="gramEnd"/>
      <w:r w:rsidRPr="0065693E">
        <w:rPr>
          <w:rFonts w:ascii="宋体" w:hAnsi="宋体" w:cs="宋体" w:hint="eastAsia"/>
          <w:kern w:val="0"/>
          <w:sz w:val="24"/>
        </w:rPr>
        <w:t>先期投入及置换情况</w:t>
      </w:r>
    </w:p>
    <w:p w14:paraId="007F47F8" w14:textId="77777777" w:rsidR="0065693E" w:rsidRPr="0065693E" w:rsidRDefault="0065693E" w:rsidP="0065693E">
      <w:pPr>
        <w:widowControl/>
        <w:spacing w:line="360" w:lineRule="auto"/>
        <w:ind w:firstLineChars="200" w:firstLine="480"/>
        <w:rPr>
          <w:rFonts w:ascii="宋体" w:hAnsi="宋体" w:cs="宋体"/>
          <w:kern w:val="0"/>
          <w:sz w:val="24"/>
        </w:rPr>
      </w:pPr>
      <w:proofErr w:type="gramStart"/>
      <w:r w:rsidRPr="0065693E">
        <w:rPr>
          <w:rFonts w:ascii="宋体" w:hAnsi="宋体" w:cs="宋体" w:hint="eastAsia"/>
          <w:kern w:val="0"/>
          <w:sz w:val="24"/>
        </w:rPr>
        <w:t>募投项目</w:t>
      </w:r>
      <w:proofErr w:type="gramEnd"/>
      <w:r w:rsidRPr="0065693E">
        <w:rPr>
          <w:rFonts w:ascii="宋体" w:hAnsi="宋体" w:cs="宋体" w:hint="eastAsia"/>
          <w:kern w:val="0"/>
          <w:sz w:val="24"/>
        </w:rPr>
        <w:t>“汽车液力变矩器建设项目”，截至到2013年3月22日，公司以自有资金投资2,934.91万元。公司第四届董事会第十九次会议审议通过了《关于募集资金置换预先投入募集资金投资项目的自筹资金的议案》，同意使用募集资金人民币2,934.91万元置换已预先投入募集资金投资项目的自筹资金。本次以募集资金置换预先投入</w:t>
      </w:r>
      <w:proofErr w:type="gramStart"/>
      <w:r w:rsidRPr="0065693E">
        <w:rPr>
          <w:rFonts w:ascii="宋体" w:hAnsi="宋体" w:cs="宋体" w:hint="eastAsia"/>
          <w:kern w:val="0"/>
          <w:sz w:val="24"/>
        </w:rPr>
        <w:t>募投项目</w:t>
      </w:r>
      <w:proofErr w:type="gramEnd"/>
      <w:r w:rsidRPr="0065693E">
        <w:rPr>
          <w:rFonts w:ascii="宋体" w:hAnsi="宋体" w:cs="宋体" w:hint="eastAsia"/>
          <w:kern w:val="0"/>
          <w:sz w:val="24"/>
        </w:rPr>
        <w:t>的自筹资金，不存在变相改变公司募集资金用途的情形，不影响募集资金投资计划的正常进行，并且置换时间距离募集资金到账时间未超过6个月，符合募集资金使用的监管要求。</w:t>
      </w:r>
    </w:p>
    <w:p w14:paraId="2DF89FF4" w14:textId="77777777" w:rsidR="0065693E" w:rsidRPr="0065693E" w:rsidRDefault="0065693E" w:rsidP="0065693E">
      <w:pPr>
        <w:widowControl/>
        <w:spacing w:line="360" w:lineRule="auto"/>
        <w:ind w:firstLineChars="200" w:firstLine="480"/>
        <w:rPr>
          <w:rFonts w:ascii="宋体" w:hAnsi="宋体" w:cs="宋体"/>
          <w:kern w:val="0"/>
          <w:sz w:val="24"/>
        </w:rPr>
      </w:pPr>
      <w:r w:rsidRPr="0065693E">
        <w:rPr>
          <w:rFonts w:ascii="宋体" w:hAnsi="宋体" w:cs="宋体" w:hint="eastAsia"/>
          <w:kern w:val="0"/>
          <w:sz w:val="24"/>
        </w:rPr>
        <w:t>公司本报告期无</w:t>
      </w:r>
      <w:proofErr w:type="gramStart"/>
      <w:r w:rsidRPr="0065693E">
        <w:rPr>
          <w:rFonts w:ascii="宋体" w:hAnsi="宋体" w:cs="宋体" w:hint="eastAsia"/>
          <w:kern w:val="0"/>
          <w:sz w:val="24"/>
        </w:rPr>
        <w:t>募投项目</w:t>
      </w:r>
      <w:proofErr w:type="gramEnd"/>
      <w:r w:rsidRPr="0065693E">
        <w:rPr>
          <w:rFonts w:ascii="宋体" w:hAnsi="宋体" w:cs="宋体" w:hint="eastAsia"/>
          <w:kern w:val="0"/>
          <w:sz w:val="24"/>
        </w:rPr>
        <w:t>先期投入及置换情况。</w:t>
      </w:r>
    </w:p>
    <w:p w14:paraId="361D2996" w14:textId="77777777" w:rsidR="0065693E" w:rsidRPr="0065693E" w:rsidRDefault="0065693E" w:rsidP="0065693E">
      <w:pPr>
        <w:widowControl/>
        <w:spacing w:line="360" w:lineRule="auto"/>
        <w:ind w:firstLineChars="200" w:firstLine="480"/>
        <w:rPr>
          <w:rFonts w:ascii="宋体" w:hAnsi="宋体" w:cs="宋体"/>
          <w:kern w:val="0"/>
          <w:sz w:val="24"/>
        </w:rPr>
      </w:pPr>
      <w:r w:rsidRPr="0065693E">
        <w:rPr>
          <w:rFonts w:ascii="宋体" w:hAnsi="宋体" w:cs="宋体" w:hint="eastAsia"/>
          <w:kern w:val="0"/>
          <w:sz w:val="24"/>
        </w:rPr>
        <w:t>（三）用闲置募集资金暂时补充流动资金情况</w:t>
      </w:r>
    </w:p>
    <w:p w14:paraId="17D12B96" w14:textId="77777777" w:rsidR="0065693E" w:rsidRPr="0065693E" w:rsidRDefault="0065693E" w:rsidP="0065693E">
      <w:pPr>
        <w:widowControl/>
        <w:spacing w:line="360" w:lineRule="auto"/>
        <w:ind w:firstLineChars="200" w:firstLine="480"/>
        <w:rPr>
          <w:rFonts w:ascii="宋体" w:hAnsi="宋体" w:cs="宋体"/>
          <w:kern w:val="0"/>
          <w:sz w:val="24"/>
        </w:rPr>
      </w:pPr>
      <w:r w:rsidRPr="0065693E">
        <w:rPr>
          <w:rFonts w:ascii="宋体" w:hAnsi="宋体" w:cs="宋体" w:hint="eastAsia"/>
          <w:kern w:val="0"/>
          <w:sz w:val="24"/>
        </w:rPr>
        <w:t>2022年2月16日，公司第七届董事会第十五次会议审议通过了《关于使用闲置募集资金进行现金管理的议案》，同意公司在不影响募集资金使用的情况下，对不超过24,500.00万元暂时补充流动资金，使用期限自董事会审批后具体实施之日起不超过 12个月有效，该笔资金仅限于与公司主营业务相关的生产经营使</w:t>
      </w:r>
      <w:r w:rsidRPr="0065693E">
        <w:rPr>
          <w:rFonts w:ascii="宋体" w:hAnsi="宋体" w:cs="宋体" w:hint="eastAsia"/>
          <w:kern w:val="0"/>
          <w:sz w:val="24"/>
        </w:rPr>
        <w:lastRenderedPageBreak/>
        <w:t>用。本次使用募集资金暂时补充流动资金24,200.00万元于2022年6月28日归还至募集资金专用账户。</w:t>
      </w:r>
    </w:p>
    <w:p w14:paraId="4E81CB3E" w14:textId="77777777" w:rsidR="0065693E" w:rsidRPr="0065693E" w:rsidRDefault="0065693E" w:rsidP="0065693E">
      <w:pPr>
        <w:widowControl/>
        <w:spacing w:line="360" w:lineRule="auto"/>
        <w:ind w:firstLineChars="200" w:firstLine="480"/>
        <w:rPr>
          <w:rFonts w:ascii="宋体" w:hAnsi="宋体" w:cs="宋体"/>
          <w:kern w:val="0"/>
          <w:sz w:val="24"/>
        </w:rPr>
      </w:pPr>
      <w:r w:rsidRPr="0065693E">
        <w:rPr>
          <w:rFonts w:ascii="宋体" w:hAnsi="宋体" w:cs="宋体" w:hint="eastAsia"/>
          <w:kern w:val="0"/>
          <w:sz w:val="24"/>
        </w:rPr>
        <w:t>（四）对闲置募集资金进行现金管理，投资相关产品情况</w:t>
      </w:r>
    </w:p>
    <w:p w14:paraId="645EFABD" w14:textId="77777777" w:rsidR="0065693E" w:rsidRPr="0065693E" w:rsidRDefault="0065693E" w:rsidP="0065693E">
      <w:pPr>
        <w:widowControl/>
        <w:spacing w:line="360" w:lineRule="auto"/>
        <w:ind w:firstLineChars="200" w:firstLine="480"/>
        <w:rPr>
          <w:rFonts w:ascii="宋体" w:hAnsi="宋体" w:cs="宋体"/>
          <w:kern w:val="0"/>
          <w:sz w:val="24"/>
        </w:rPr>
      </w:pPr>
      <w:r w:rsidRPr="0065693E">
        <w:rPr>
          <w:rFonts w:ascii="宋体" w:hAnsi="宋体" w:cs="宋体" w:hint="eastAsia"/>
          <w:kern w:val="0"/>
          <w:sz w:val="24"/>
        </w:rPr>
        <w:t>2021年8月19日，公司第七届董事会第十次会议审议通过了《关于使用闲置募集资金进行现金管理的议案》，同意公司在不影响募集资金使用的情况下，对不超过20,000.00万元暂时闲置募集资金，选择保本、风险低、流动性强的现金管理业务。自董事会审议通过之日起 12个月（含）有效。</w:t>
      </w:r>
    </w:p>
    <w:p w14:paraId="2AC6101C" w14:textId="77777777" w:rsidR="0065693E" w:rsidRPr="0065693E" w:rsidRDefault="0065693E" w:rsidP="0065693E">
      <w:pPr>
        <w:widowControl/>
        <w:spacing w:line="360" w:lineRule="auto"/>
        <w:ind w:firstLineChars="200" w:firstLine="480"/>
        <w:rPr>
          <w:rFonts w:ascii="宋体" w:hAnsi="宋体" w:cs="宋体"/>
          <w:kern w:val="0"/>
          <w:sz w:val="24"/>
        </w:rPr>
      </w:pPr>
      <w:r w:rsidRPr="0065693E">
        <w:rPr>
          <w:rFonts w:ascii="宋体" w:hAnsi="宋体" w:cs="宋体" w:hint="eastAsia"/>
          <w:kern w:val="0"/>
          <w:sz w:val="24"/>
        </w:rPr>
        <w:t>截至募集资金项目结项，公司使用闲置募集资金进行现金管理金额为0万元。2022年度使用闲置募集资金进行现金管理情况如下表所示：</w:t>
      </w:r>
    </w:p>
    <w:tbl>
      <w:tblPr>
        <w:tblW w:w="9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5"/>
        <w:gridCol w:w="1139"/>
        <w:gridCol w:w="1843"/>
        <w:gridCol w:w="1260"/>
        <w:gridCol w:w="1258"/>
        <w:gridCol w:w="1147"/>
        <w:gridCol w:w="1225"/>
        <w:gridCol w:w="921"/>
      </w:tblGrid>
      <w:tr w:rsidR="0065693E" w:rsidRPr="0065693E" w14:paraId="37C4D19D" w14:textId="77777777" w:rsidTr="00F00178">
        <w:trPr>
          <w:trHeight w:val="723"/>
          <w:jc w:val="center"/>
        </w:trPr>
        <w:tc>
          <w:tcPr>
            <w:tcW w:w="715" w:type="dxa"/>
            <w:vAlign w:val="center"/>
          </w:tcPr>
          <w:p w14:paraId="0B64C7C9" w14:textId="77777777" w:rsidR="0065693E" w:rsidRPr="0065693E" w:rsidRDefault="0065693E" w:rsidP="0065693E">
            <w:pPr>
              <w:autoSpaceDE w:val="0"/>
              <w:autoSpaceDN w:val="0"/>
              <w:adjustRightInd w:val="0"/>
              <w:spacing w:line="360" w:lineRule="auto"/>
              <w:jc w:val="center"/>
              <w:rPr>
                <w:rFonts w:ascii="宋体" w:hAnsi="宋体" w:cs="宋体"/>
                <w:sz w:val="24"/>
              </w:rPr>
            </w:pPr>
            <w:r w:rsidRPr="0065693E">
              <w:rPr>
                <w:rFonts w:ascii="宋体" w:hAnsi="宋体" w:cs="宋体" w:hint="eastAsia"/>
                <w:sz w:val="24"/>
              </w:rPr>
              <w:t>序号</w:t>
            </w:r>
          </w:p>
        </w:tc>
        <w:tc>
          <w:tcPr>
            <w:tcW w:w="1139" w:type="dxa"/>
            <w:vAlign w:val="center"/>
          </w:tcPr>
          <w:p w14:paraId="345113AE" w14:textId="77777777" w:rsidR="0065693E" w:rsidRPr="0065693E" w:rsidRDefault="0065693E" w:rsidP="0065693E">
            <w:pPr>
              <w:autoSpaceDE w:val="0"/>
              <w:autoSpaceDN w:val="0"/>
              <w:adjustRightInd w:val="0"/>
              <w:spacing w:line="360" w:lineRule="auto"/>
              <w:jc w:val="center"/>
              <w:rPr>
                <w:rFonts w:ascii="宋体" w:hAnsi="宋体" w:cs="宋体"/>
                <w:sz w:val="24"/>
              </w:rPr>
            </w:pPr>
            <w:r w:rsidRPr="0065693E">
              <w:rPr>
                <w:rFonts w:ascii="宋体" w:hAnsi="宋体" w:cs="宋体" w:hint="eastAsia"/>
                <w:sz w:val="24"/>
              </w:rPr>
              <w:t>受托方</w:t>
            </w:r>
          </w:p>
        </w:tc>
        <w:tc>
          <w:tcPr>
            <w:tcW w:w="1843" w:type="dxa"/>
            <w:vAlign w:val="center"/>
          </w:tcPr>
          <w:p w14:paraId="256CD3C1" w14:textId="77777777" w:rsidR="0065693E" w:rsidRPr="0065693E" w:rsidRDefault="0065693E" w:rsidP="0065693E">
            <w:pPr>
              <w:autoSpaceDE w:val="0"/>
              <w:autoSpaceDN w:val="0"/>
              <w:adjustRightInd w:val="0"/>
              <w:spacing w:line="360" w:lineRule="auto"/>
              <w:jc w:val="center"/>
              <w:rPr>
                <w:rFonts w:ascii="宋体" w:hAnsi="宋体" w:cs="宋体"/>
                <w:sz w:val="24"/>
              </w:rPr>
            </w:pPr>
            <w:r w:rsidRPr="0065693E">
              <w:rPr>
                <w:rFonts w:ascii="宋体" w:hAnsi="宋体" w:cs="宋体" w:hint="eastAsia"/>
                <w:sz w:val="24"/>
              </w:rPr>
              <w:t>产品名称</w:t>
            </w:r>
          </w:p>
        </w:tc>
        <w:tc>
          <w:tcPr>
            <w:tcW w:w="1260" w:type="dxa"/>
            <w:vAlign w:val="center"/>
          </w:tcPr>
          <w:p w14:paraId="5B0448E9" w14:textId="77777777" w:rsidR="0065693E" w:rsidRPr="0065693E" w:rsidRDefault="0065693E" w:rsidP="0065693E">
            <w:pPr>
              <w:autoSpaceDE w:val="0"/>
              <w:autoSpaceDN w:val="0"/>
              <w:adjustRightInd w:val="0"/>
              <w:spacing w:line="360" w:lineRule="auto"/>
              <w:jc w:val="center"/>
              <w:rPr>
                <w:rFonts w:ascii="宋体" w:hAnsi="宋体" w:cs="宋体"/>
                <w:sz w:val="24"/>
              </w:rPr>
            </w:pPr>
            <w:r w:rsidRPr="0065693E">
              <w:rPr>
                <w:rFonts w:ascii="宋体" w:hAnsi="宋体" w:cs="宋体" w:hint="eastAsia"/>
                <w:sz w:val="24"/>
              </w:rPr>
              <w:t>产品类型</w:t>
            </w:r>
          </w:p>
        </w:tc>
        <w:tc>
          <w:tcPr>
            <w:tcW w:w="1258" w:type="dxa"/>
            <w:vAlign w:val="center"/>
          </w:tcPr>
          <w:p w14:paraId="4E6DFC85" w14:textId="77777777" w:rsidR="0065693E" w:rsidRPr="0065693E" w:rsidRDefault="0065693E" w:rsidP="0065693E">
            <w:pPr>
              <w:autoSpaceDE w:val="0"/>
              <w:autoSpaceDN w:val="0"/>
              <w:adjustRightInd w:val="0"/>
              <w:spacing w:line="360" w:lineRule="auto"/>
              <w:jc w:val="center"/>
              <w:rPr>
                <w:rFonts w:ascii="宋体" w:hAnsi="宋体" w:cs="宋体"/>
                <w:sz w:val="24"/>
              </w:rPr>
            </w:pPr>
            <w:r w:rsidRPr="0065693E">
              <w:rPr>
                <w:rFonts w:ascii="宋体" w:hAnsi="宋体" w:cs="宋体" w:hint="eastAsia"/>
                <w:sz w:val="24"/>
              </w:rPr>
              <w:t>金额</w:t>
            </w:r>
          </w:p>
          <w:p w14:paraId="6C7D470A" w14:textId="77777777" w:rsidR="0065693E" w:rsidRPr="0065693E" w:rsidRDefault="0065693E" w:rsidP="0065693E">
            <w:pPr>
              <w:autoSpaceDE w:val="0"/>
              <w:autoSpaceDN w:val="0"/>
              <w:adjustRightInd w:val="0"/>
              <w:spacing w:line="360" w:lineRule="auto"/>
              <w:jc w:val="center"/>
              <w:rPr>
                <w:rFonts w:ascii="宋体" w:hAnsi="宋体" w:cs="宋体"/>
                <w:sz w:val="24"/>
              </w:rPr>
            </w:pPr>
            <w:r w:rsidRPr="0065693E">
              <w:rPr>
                <w:rFonts w:ascii="宋体" w:hAnsi="宋体" w:cs="宋体" w:hint="eastAsia"/>
                <w:sz w:val="24"/>
              </w:rPr>
              <w:t>（万元）</w:t>
            </w:r>
          </w:p>
        </w:tc>
        <w:tc>
          <w:tcPr>
            <w:tcW w:w="1147" w:type="dxa"/>
            <w:vAlign w:val="center"/>
          </w:tcPr>
          <w:p w14:paraId="1D1B4AD6" w14:textId="77777777" w:rsidR="0065693E" w:rsidRPr="0065693E" w:rsidRDefault="0065693E" w:rsidP="0065693E">
            <w:pPr>
              <w:autoSpaceDE w:val="0"/>
              <w:autoSpaceDN w:val="0"/>
              <w:adjustRightInd w:val="0"/>
              <w:spacing w:line="360" w:lineRule="auto"/>
              <w:jc w:val="center"/>
              <w:rPr>
                <w:rFonts w:ascii="宋体" w:hAnsi="宋体" w:cs="宋体"/>
                <w:sz w:val="24"/>
              </w:rPr>
            </w:pPr>
            <w:r w:rsidRPr="0065693E">
              <w:rPr>
                <w:rFonts w:ascii="宋体" w:hAnsi="宋体" w:cs="宋体" w:hint="eastAsia"/>
                <w:sz w:val="24"/>
              </w:rPr>
              <w:t>产品起息日</w:t>
            </w:r>
          </w:p>
        </w:tc>
        <w:tc>
          <w:tcPr>
            <w:tcW w:w="1225" w:type="dxa"/>
            <w:vAlign w:val="center"/>
          </w:tcPr>
          <w:p w14:paraId="3B12C57D" w14:textId="77777777" w:rsidR="0065693E" w:rsidRPr="0065693E" w:rsidRDefault="0065693E" w:rsidP="0065693E">
            <w:pPr>
              <w:autoSpaceDE w:val="0"/>
              <w:autoSpaceDN w:val="0"/>
              <w:adjustRightInd w:val="0"/>
              <w:spacing w:line="360" w:lineRule="auto"/>
              <w:jc w:val="center"/>
              <w:rPr>
                <w:rFonts w:ascii="宋体" w:hAnsi="宋体" w:cs="宋体"/>
                <w:sz w:val="24"/>
              </w:rPr>
            </w:pPr>
            <w:r w:rsidRPr="0065693E">
              <w:rPr>
                <w:rFonts w:ascii="宋体" w:hAnsi="宋体" w:cs="宋体" w:hint="eastAsia"/>
                <w:sz w:val="24"/>
              </w:rPr>
              <w:t>产品</w:t>
            </w:r>
          </w:p>
          <w:p w14:paraId="5A2F2CC4" w14:textId="77777777" w:rsidR="0065693E" w:rsidRPr="0065693E" w:rsidRDefault="0065693E" w:rsidP="0065693E">
            <w:pPr>
              <w:autoSpaceDE w:val="0"/>
              <w:autoSpaceDN w:val="0"/>
              <w:adjustRightInd w:val="0"/>
              <w:spacing w:line="360" w:lineRule="auto"/>
              <w:jc w:val="center"/>
              <w:rPr>
                <w:rFonts w:ascii="宋体" w:hAnsi="宋体" w:cs="宋体"/>
                <w:sz w:val="24"/>
              </w:rPr>
            </w:pPr>
            <w:r w:rsidRPr="0065693E">
              <w:rPr>
                <w:rFonts w:ascii="宋体" w:hAnsi="宋体" w:cs="宋体" w:hint="eastAsia"/>
                <w:sz w:val="24"/>
              </w:rPr>
              <w:t>到期日</w:t>
            </w:r>
          </w:p>
        </w:tc>
        <w:tc>
          <w:tcPr>
            <w:tcW w:w="921" w:type="dxa"/>
            <w:vAlign w:val="center"/>
          </w:tcPr>
          <w:p w14:paraId="5ED54BAB" w14:textId="77777777" w:rsidR="0065693E" w:rsidRPr="0065693E" w:rsidRDefault="0065693E" w:rsidP="0065693E">
            <w:pPr>
              <w:autoSpaceDE w:val="0"/>
              <w:autoSpaceDN w:val="0"/>
              <w:adjustRightInd w:val="0"/>
              <w:spacing w:line="360" w:lineRule="auto"/>
              <w:jc w:val="center"/>
              <w:rPr>
                <w:rFonts w:ascii="宋体" w:hAnsi="宋体" w:cs="宋体"/>
                <w:sz w:val="24"/>
              </w:rPr>
            </w:pPr>
            <w:r w:rsidRPr="0065693E">
              <w:rPr>
                <w:rFonts w:ascii="宋体" w:hAnsi="宋体" w:cs="宋体" w:hint="eastAsia"/>
                <w:sz w:val="24"/>
              </w:rPr>
              <w:t>是否赎回</w:t>
            </w:r>
          </w:p>
        </w:tc>
      </w:tr>
      <w:tr w:rsidR="0065693E" w:rsidRPr="0065693E" w14:paraId="0B8CDF16" w14:textId="77777777" w:rsidTr="00F00178">
        <w:trPr>
          <w:trHeight w:val="723"/>
          <w:jc w:val="center"/>
        </w:trPr>
        <w:tc>
          <w:tcPr>
            <w:tcW w:w="715" w:type="dxa"/>
            <w:vAlign w:val="center"/>
          </w:tcPr>
          <w:p w14:paraId="14AA3C7E" w14:textId="77777777" w:rsidR="0065693E" w:rsidRPr="0065693E" w:rsidRDefault="0065693E" w:rsidP="0065693E">
            <w:pPr>
              <w:autoSpaceDE w:val="0"/>
              <w:autoSpaceDN w:val="0"/>
              <w:adjustRightInd w:val="0"/>
              <w:spacing w:line="360" w:lineRule="auto"/>
              <w:jc w:val="center"/>
              <w:rPr>
                <w:rFonts w:ascii="宋体" w:hAnsi="宋体" w:cs="宋体"/>
                <w:sz w:val="24"/>
              </w:rPr>
            </w:pPr>
            <w:r w:rsidRPr="0065693E">
              <w:rPr>
                <w:rFonts w:hAnsi="宋体" w:hint="eastAsia"/>
                <w:szCs w:val="21"/>
              </w:rPr>
              <w:t>1</w:t>
            </w:r>
          </w:p>
        </w:tc>
        <w:tc>
          <w:tcPr>
            <w:tcW w:w="1139" w:type="dxa"/>
            <w:vAlign w:val="center"/>
          </w:tcPr>
          <w:p w14:paraId="61DF7A0C" w14:textId="77777777" w:rsidR="0065693E" w:rsidRPr="0065693E" w:rsidRDefault="0065693E" w:rsidP="0065693E">
            <w:pPr>
              <w:autoSpaceDE w:val="0"/>
              <w:autoSpaceDN w:val="0"/>
              <w:adjustRightInd w:val="0"/>
              <w:spacing w:line="360" w:lineRule="auto"/>
              <w:jc w:val="center"/>
              <w:rPr>
                <w:rFonts w:ascii="宋体" w:hAnsi="宋体" w:cs="宋体"/>
                <w:sz w:val="24"/>
              </w:rPr>
            </w:pPr>
            <w:r w:rsidRPr="0065693E">
              <w:rPr>
                <w:rFonts w:ascii="宋体" w:hAnsi="宋体" w:hint="eastAsia"/>
                <w:szCs w:val="21"/>
              </w:rPr>
              <w:t>交通银行</w:t>
            </w:r>
          </w:p>
        </w:tc>
        <w:tc>
          <w:tcPr>
            <w:tcW w:w="1843" w:type="dxa"/>
            <w:vAlign w:val="center"/>
          </w:tcPr>
          <w:p w14:paraId="555A1B1D" w14:textId="77777777" w:rsidR="0065693E" w:rsidRPr="0065693E" w:rsidRDefault="0065693E" w:rsidP="0065693E">
            <w:pPr>
              <w:autoSpaceDE w:val="0"/>
              <w:autoSpaceDN w:val="0"/>
              <w:adjustRightInd w:val="0"/>
              <w:spacing w:line="360" w:lineRule="auto"/>
              <w:jc w:val="center"/>
              <w:rPr>
                <w:rFonts w:ascii="宋体" w:hAnsi="宋体" w:cs="宋体"/>
                <w:sz w:val="24"/>
              </w:rPr>
            </w:pPr>
            <w:r w:rsidRPr="0065693E">
              <w:rPr>
                <w:rFonts w:ascii="宋体" w:hAnsi="宋体" w:hint="eastAsia"/>
                <w:szCs w:val="21"/>
              </w:rPr>
              <w:t>交通银行</w:t>
            </w:r>
            <w:proofErr w:type="gramStart"/>
            <w:r w:rsidRPr="0065693E">
              <w:rPr>
                <w:rFonts w:ascii="宋体" w:hAnsi="宋体" w:hint="eastAsia"/>
                <w:szCs w:val="21"/>
              </w:rPr>
              <w:t>蕴</w:t>
            </w:r>
            <w:proofErr w:type="gramEnd"/>
            <w:r w:rsidRPr="0065693E">
              <w:rPr>
                <w:rFonts w:ascii="宋体" w:hAnsi="宋体" w:hint="eastAsia"/>
                <w:szCs w:val="21"/>
              </w:rPr>
              <w:t xml:space="preserve">通财富定期型结构性存款 </w:t>
            </w:r>
          </w:p>
        </w:tc>
        <w:tc>
          <w:tcPr>
            <w:tcW w:w="1260" w:type="dxa"/>
            <w:vAlign w:val="center"/>
          </w:tcPr>
          <w:p w14:paraId="7CCF11EE" w14:textId="77777777" w:rsidR="0065693E" w:rsidRPr="0065693E" w:rsidRDefault="0065693E" w:rsidP="0065693E">
            <w:pPr>
              <w:autoSpaceDE w:val="0"/>
              <w:autoSpaceDN w:val="0"/>
              <w:adjustRightInd w:val="0"/>
              <w:jc w:val="center"/>
              <w:rPr>
                <w:rFonts w:ascii="宋体" w:hAnsi="宋体" w:cs="宋体"/>
                <w:szCs w:val="21"/>
              </w:rPr>
            </w:pPr>
            <w:r w:rsidRPr="0065693E">
              <w:rPr>
                <w:rFonts w:ascii="宋体" w:hAnsi="宋体" w:cs="宋体" w:hint="eastAsia"/>
                <w:szCs w:val="21"/>
              </w:rPr>
              <w:t>保本浮动</w:t>
            </w:r>
          </w:p>
          <w:p w14:paraId="2EEFD4F8" w14:textId="77777777" w:rsidR="0065693E" w:rsidRPr="0065693E" w:rsidRDefault="0065693E" w:rsidP="0065693E">
            <w:pPr>
              <w:autoSpaceDE w:val="0"/>
              <w:autoSpaceDN w:val="0"/>
              <w:adjustRightInd w:val="0"/>
              <w:spacing w:line="360" w:lineRule="auto"/>
              <w:jc w:val="center"/>
              <w:rPr>
                <w:rFonts w:ascii="宋体" w:hAnsi="宋体" w:cs="宋体"/>
                <w:sz w:val="24"/>
              </w:rPr>
            </w:pPr>
            <w:r w:rsidRPr="0065693E">
              <w:rPr>
                <w:rFonts w:ascii="宋体" w:hAnsi="宋体" w:hint="eastAsia"/>
                <w:szCs w:val="21"/>
              </w:rPr>
              <w:t>收益</w:t>
            </w:r>
          </w:p>
        </w:tc>
        <w:tc>
          <w:tcPr>
            <w:tcW w:w="1258" w:type="dxa"/>
            <w:vAlign w:val="center"/>
          </w:tcPr>
          <w:p w14:paraId="41C9EB29" w14:textId="5D841E2E" w:rsidR="0065693E" w:rsidRPr="0065693E" w:rsidRDefault="0065693E" w:rsidP="0065693E">
            <w:pPr>
              <w:autoSpaceDE w:val="0"/>
              <w:autoSpaceDN w:val="0"/>
              <w:adjustRightInd w:val="0"/>
              <w:spacing w:line="360" w:lineRule="auto"/>
              <w:jc w:val="center"/>
              <w:rPr>
                <w:rFonts w:ascii="宋体" w:hAnsi="宋体" w:cs="宋体"/>
                <w:sz w:val="24"/>
              </w:rPr>
            </w:pPr>
            <w:r w:rsidRPr="0065693E">
              <w:rPr>
                <w:rFonts w:ascii="宋体" w:hAnsi="宋体" w:hint="eastAsia"/>
                <w:szCs w:val="21"/>
              </w:rPr>
              <w:t>10</w:t>
            </w:r>
            <w:r w:rsidRPr="0065693E">
              <w:rPr>
                <w:rFonts w:ascii="宋体" w:hAnsi="宋体"/>
                <w:szCs w:val="21"/>
              </w:rPr>
              <w:t>,000</w:t>
            </w:r>
          </w:p>
        </w:tc>
        <w:tc>
          <w:tcPr>
            <w:tcW w:w="1147" w:type="dxa"/>
            <w:vAlign w:val="center"/>
          </w:tcPr>
          <w:p w14:paraId="7A4F5F27" w14:textId="77777777" w:rsidR="0065693E" w:rsidRPr="0065693E" w:rsidRDefault="0065693E" w:rsidP="0065693E">
            <w:pPr>
              <w:autoSpaceDE w:val="0"/>
              <w:autoSpaceDN w:val="0"/>
              <w:adjustRightInd w:val="0"/>
              <w:spacing w:line="360" w:lineRule="auto"/>
              <w:jc w:val="center"/>
              <w:rPr>
                <w:rFonts w:ascii="宋体" w:hAnsi="宋体" w:cs="宋体"/>
                <w:sz w:val="24"/>
              </w:rPr>
            </w:pPr>
            <w:r w:rsidRPr="0065693E">
              <w:rPr>
                <w:rFonts w:ascii="宋体" w:hAnsi="宋体" w:hint="eastAsia"/>
                <w:szCs w:val="21"/>
              </w:rPr>
              <w:t>2022年1月5日</w:t>
            </w:r>
          </w:p>
        </w:tc>
        <w:tc>
          <w:tcPr>
            <w:tcW w:w="1225" w:type="dxa"/>
            <w:vAlign w:val="center"/>
          </w:tcPr>
          <w:p w14:paraId="52026483" w14:textId="77777777" w:rsidR="0065693E" w:rsidRPr="0065693E" w:rsidRDefault="0065693E" w:rsidP="0065693E">
            <w:pPr>
              <w:autoSpaceDE w:val="0"/>
              <w:autoSpaceDN w:val="0"/>
              <w:adjustRightInd w:val="0"/>
              <w:jc w:val="center"/>
              <w:rPr>
                <w:rFonts w:ascii="宋体" w:hAnsi="宋体" w:cs="宋体"/>
                <w:szCs w:val="21"/>
              </w:rPr>
            </w:pPr>
            <w:r w:rsidRPr="0065693E">
              <w:rPr>
                <w:rFonts w:ascii="宋体" w:hAnsi="宋体" w:cs="宋体" w:hint="eastAsia"/>
                <w:szCs w:val="21"/>
              </w:rPr>
              <w:t>2022年5</w:t>
            </w:r>
          </w:p>
          <w:p w14:paraId="40D6CD7B" w14:textId="77777777" w:rsidR="0065693E" w:rsidRPr="0065693E" w:rsidRDefault="0065693E" w:rsidP="0065693E">
            <w:pPr>
              <w:autoSpaceDE w:val="0"/>
              <w:autoSpaceDN w:val="0"/>
              <w:adjustRightInd w:val="0"/>
              <w:spacing w:line="360" w:lineRule="auto"/>
              <w:jc w:val="center"/>
              <w:rPr>
                <w:rFonts w:ascii="宋体" w:hAnsi="宋体" w:cs="宋体"/>
                <w:sz w:val="24"/>
              </w:rPr>
            </w:pPr>
            <w:r w:rsidRPr="0065693E">
              <w:rPr>
                <w:rFonts w:ascii="宋体" w:hAnsi="宋体" w:hint="eastAsia"/>
                <w:szCs w:val="21"/>
              </w:rPr>
              <w:t>月20日</w:t>
            </w:r>
          </w:p>
        </w:tc>
        <w:tc>
          <w:tcPr>
            <w:tcW w:w="921" w:type="dxa"/>
            <w:vAlign w:val="center"/>
          </w:tcPr>
          <w:p w14:paraId="0B95C400" w14:textId="77777777" w:rsidR="0065693E" w:rsidRPr="0065693E" w:rsidRDefault="0065693E" w:rsidP="0065693E">
            <w:pPr>
              <w:autoSpaceDE w:val="0"/>
              <w:autoSpaceDN w:val="0"/>
              <w:adjustRightInd w:val="0"/>
              <w:spacing w:line="360" w:lineRule="auto"/>
              <w:jc w:val="center"/>
              <w:rPr>
                <w:rFonts w:ascii="宋体" w:hAnsi="宋体" w:cs="宋体"/>
                <w:sz w:val="24"/>
              </w:rPr>
            </w:pPr>
            <w:r w:rsidRPr="0065693E">
              <w:rPr>
                <w:rFonts w:ascii="宋体" w:hAnsi="宋体" w:hint="eastAsia"/>
                <w:szCs w:val="21"/>
              </w:rPr>
              <w:t>是</w:t>
            </w:r>
          </w:p>
        </w:tc>
      </w:tr>
      <w:tr w:rsidR="0065693E" w:rsidRPr="0065693E" w14:paraId="6661C7EC" w14:textId="77777777" w:rsidTr="00F00178">
        <w:trPr>
          <w:trHeight w:val="723"/>
          <w:jc w:val="center"/>
        </w:trPr>
        <w:tc>
          <w:tcPr>
            <w:tcW w:w="715" w:type="dxa"/>
            <w:vAlign w:val="center"/>
          </w:tcPr>
          <w:p w14:paraId="3657137A" w14:textId="77777777" w:rsidR="0065693E" w:rsidRPr="0065693E" w:rsidRDefault="0065693E" w:rsidP="0065693E">
            <w:pPr>
              <w:autoSpaceDE w:val="0"/>
              <w:autoSpaceDN w:val="0"/>
              <w:adjustRightInd w:val="0"/>
              <w:spacing w:line="360" w:lineRule="auto"/>
              <w:jc w:val="center"/>
              <w:rPr>
                <w:rFonts w:ascii="宋体" w:hAnsi="宋体" w:cs="宋体"/>
                <w:sz w:val="24"/>
              </w:rPr>
            </w:pPr>
            <w:r w:rsidRPr="0065693E">
              <w:rPr>
                <w:rFonts w:hAnsi="宋体" w:hint="eastAsia"/>
                <w:szCs w:val="21"/>
              </w:rPr>
              <w:t>2</w:t>
            </w:r>
          </w:p>
        </w:tc>
        <w:tc>
          <w:tcPr>
            <w:tcW w:w="1139" w:type="dxa"/>
            <w:vAlign w:val="center"/>
          </w:tcPr>
          <w:p w14:paraId="459309E9" w14:textId="77777777" w:rsidR="0065693E" w:rsidRPr="0065693E" w:rsidRDefault="0065693E" w:rsidP="0065693E">
            <w:pPr>
              <w:autoSpaceDE w:val="0"/>
              <w:autoSpaceDN w:val="0"/>
              <w:adjustRightInd w:val="0"/>
              <w:spacing w:line="360" w:lineRule="auto"/>
              <w:jc w:val="center"/>
              <w:rPr>
                <w:rFonts w:ascii="宋体" w:hAnsi="宋体" w:cs="宋体"/>
                <w:sz w:val="24"/>
              </w:rPr>
            </w:pPr>
            <w:r w:rsidRPr="0065693E">
              <w:rPr>
                <w:rFonts w:ascii="宋体" w:hAnsi="宋体" w:hint="eastAsia"/>
                <w:szCs w:val="21"/>
              </w:rPr>
              <w:t>招商银行</w:t>
            </w:r>
          </w:p>
        </w:tc>
        <w:tc>
          <w:tcPr>
            <w:tcW w:w="1843" w:type="dxa"/>
            <w:vAlign w:val="center"/>
          </w:tcPr>
          <w:p w14:paraId="34EFFA46" w14:textId="37717B79" w:rsidR="0065693E" w:rsidRPr="0065693E" w:rsidRDefault="0065693E" w:rsidP="0065693E">
            <w:pPr>
              <w:autoSpaceDE w:val="0"/>
              <w:autoSpaceDN w:val="0"/>
              <w:adjustRightInd w:val="0"/>
              <w:spacing w:line="360" w:lineRule="auto"/>
              <w:jc w:val="center"/>
              <w:rPr>
                <w:rFonts w:ascii="宋体" w:hAnsi="宋体" w:cs="宋体"/>
                <w:sz w:val="24"/>
              </w:rPr>
            </w:pPr>
            <w:r w:rsidRPr="0065693E">
              <w:rPr>
                <w:rFonts w:ascii="宋体" w:hAnsi="宋体" w:hint="eastAsia"/>
                <w:szCs w:val="21"/>
              </w:rPr>
              <w:t>招商银行点金系列看跌三层区间结构性存款</w:t>
            </w:r>
          </w:p>
        </w:tc>
        <w:tc>
          <w:tcPr>
            <w:tcW w:w="1260" w:type="dxa"/>
            <w:vAlign w:val="center"/>
          </w:tcPr>
          <w:p w14:paraId="756125F8" w14:textId="77777777" w:rsidR="0065693E" w:rsidRPr="0065693E" w:rsidRDefault="0065693E" w:rsidP="0065693E">
            <w:pPr>
              <w:autoSpaceDE w:val="0"/>
              <w:autoSpaceDN w:val="0"/>
              <w:adjustRightInd w:val="0"/>
              <w:spacing w:line="360" w:lineRule="auto"/>
              <w:jc w:val="center"/>
              <w:rPr>
                <w:rFonts w:ascii="宋体" w:hAnsi="宋体" w:cs="宋体"/>
                <w:sz w:val="24"/>
              </w:rPr>
            </w:pPr>
            <w:r w:rsidRPr="0065693E">
              <w:rPr>
                <w:rFonts w:ascii="宋体" w:hAnsi="宋体" w:hint="eastAsia"/>
                <w:szCs w:val="21"/>
              </w:rPr>
              <w:t>保本浮动  收益型</w:t>
            </w:r>
          </w:p>
        </w:tc>
        <w:tc>
          <w:tcPr>
            <w:tcW w:w="1258" w:type="dxa"/>
            <w:vAlign w:val="center"/>
          </w:tcPr>
          <w:p w14:paraId="2AFA936E" w14:textId="483B9DCE" w:rsidR="0065693E" w:rsidRPr="0065693E" w:rsidRDefault="0065693E" w:rsidP="0065693E">
            <w:pPr>
              <w:autoSpaceDE w:val="0"/>
              <w:autoSpaceDN w:val="0"/>
              <w:adjustRightInd w:val="0"/>
              <w:spacing w:line="360" w:lineRule="auto"/>
              <w:jc w:val="center"/>
              <w:rPr>
                <w:rFonts w:ascii="宋体" w:hAnsi="宋体" w:cs="宋体"/>
                <w:sz w:val="24"/>
              </w:rPr>
            </w:pPr>
            <w:r w:rsidRPr="0065693E">
              <w:rPr>
                <w:rFonts w:ascii="宋体" w:hAnsi="宋体" w:hint="eastAsia"/>
                <w:szCs w:val="21"/>
              </w:rPr>
              <w:t>7</w:t>
            </w:r>
            <w:r w:rsidRPr="0065693E">
              <w:rPr>
                <w:rFonts w:ascii="宋体" w:hAnsi="宋体"/>
                <w:szCs w:val="21"/>
              </w:rPr>
              <w:t>,</w:t>
            </w:r>
            <w:r w:rsidRPr="0065693E">
              <w:rPr>
                <w:rFonts w:ascii="宋体" w:hAnsi="宋体" w:hint="eastAsia"/>
                <w:szCs w:val="21"/>
              </w:rPr>
              <w:t>000</w:t>
            </w:r>
          </w:p>
        </w:tc>
        <w:tc>
          <w:tcPr>
            <w:tcW w:w="1147" w:type="dxa"/>
            <w:vAlign w:val="center"/>
          </w:tcPr>
          <w:p w14:paraId="69F6B202" w14:textId="77777777" w:rsidR="0065693E" w:rsidRPr="0065693E" w:rsidRDefault="0065693E" w:rsidP="0065693E">
            <w:pPr>
              <w:autoSpaceDE w:val="0"/>
              <w:autoSpaceDN w:val="0"/>
              <w:adjustRightInd w:val="0"/>
              <w:spacing w:line="360" w:lineRule="auto"/>
              <w:jc w:val="center"/>
              <w:rPr>
                <w:rFonts w:ascii="宋体" w:hAnsi="宋体" w:cs="宋体"/>
                <w:sz w:val="24"/>
              </w:rPr>
            </w:pPr>
            <w:r w:rsidRPr="0065693E">
              <w:rPr>
                <w:rFonts w:ascii="宋体" w:hAnsi="宋体" w:hint="eastAsia"/>
                <w:szCs w:val="21"/>
              </w:rPr>
              <w:t>2022年1月5日</w:t>
            </w:r>
          </w:p>
        </w:tc>
        <w:tc>
          <w:tcPr>
            <w:tcW w:w="1225" w:type="dxa"/>
            <w:vAlign w:val="center"/>
          </w:tcPr>
          <w:p w14:paraId="3817E8C5" w14:textId="77777777" w:rsidR="0065693E" w:rsidRPr="0065693E" w:rsidRDefault="0065693E" w:rsidP="0065693E">
            <w:pPr>
              <w:autoSpaceDE w:val="0"/>
              <w:autoSpaceDN w:val="0"/>
              <w:adjustRightInd w:val="0"/>
              <w:jc w:val="center"/>
              <w:rPr>
                <w:rFonts w:ascii="宋体" w:hAnsi="宋体" w:cs="宋体"/>
                <w:szCs w:val="21"/>
              </w:rPr>
            </w:pPr>
            <w:r w:rsidRPr="0065693E">
              <w:rPr>
                <w:rFonts w:ascii="宋体" w:hAnsi="宋体" w:cs="宋体" w:hint="eastAsia"/>
                <w:szCs w:val="21"/>
              </w:rPr>
              <w:t>2022年4</w:t>
            </w:r>
          </w:p>
          <w:p w14:paraId="08499294" w14:textId="77777777" w:rsidR="0065693E" w:rsidRPr="0065693E" w:rsidRDefault="0065693E" w:rsidP="0065693E">
            <w:pPr>
              <w:autoSpaceDE w:val="0"/>
              <w:autoSpaceDN w:val="0"/>
              <w:adjustRightInd w:val="0"/>
              <w:spacing w:line="360" w:lineRule="auto"/>
              <w:jc w:val="center"/>
              <w:rPr>
                <w:rFonts w:ascii="宋体" w:hAnsi="宋体" w:cs="宋体"/>
                <w:sz w:val="24"/>
              </w:rPr>
            </w:pPr>
            <w:r w:rsidRPr="0065693E">
              <w:rPr>
                <w:rFonts w:ascii="宋体" w:hAnsi="宋体" w:hint="eastAsia"/>
                <w:szCs w:val="21"/>
              </w:rPr>
              <w:t>月1日</w:t>
            </w:r>
          </w:p>
        </w:tc>
        <w:tc>
          <w:tcPr>
            <w:tcW w:w="921" w:type="dxa"/>
            <w:vAlign w:val="center"/>
          </w:tcPr>
          <w:p w14:paraId="0988F669" w14:textId="77777777" w:rsidR="0065693E" w:rsidRPr="0065693E" w:rsidRDefault="0065693E" w:rsidP="0065693E">
            <w:pPr>
              <w:autoSpaceDE w:val="0"/>
              <w:autoSpaceDN w:val="0"/>
              <w:adjustRightInd w:val="0"/>
              <w:spacing w:line="360" w:lineRule="auto"/>
              <w:jc w:val="center"/>
              <w:rPr>
                <w:rFonts w:ascii="宋体" w:hAnsi="宋体" w:cs="宋体"/>
                <w:sz w:val="24"/>
              </w:rPr>
            </w:pPr>
            <w:r w:rsidRPr="0065693E">
              <w:rPr>
                <w:rFonts w:ascii="宋体" w:hAnsi="宋体" w:hint="eastAsia"/>
                <w:szCs w:val="21"/>
              </w:rPr>
              <w:t>是</w:t>
            </w:r>
          </w:p>
        </w:tc>
      </w:tr>
    </w:tbl>
    <w:p w14:paraId="503FA843" w14:textId="77777777" w:rsidR="0065693E" w:rsidRPr="0065693E" w:rsidRDefault="0065693E" w:rsidP="0065693E">
      <w:pPr>
        <w:widowControl/>
        <w:spacing w:line="360" w:lineRule="auto"/>
        <w:ind w:firstLineChars="200" w:firstLine="480"/>
        <w:rPr>
          <w:rFonts w:ascii="宋体" w:hAnsi="宋体" w:cs="宋体"/>
          <w:kern w:val="0"/>
          <w:sz w:val="24"/>
        </w:rPr>
      </w:pPr>
      <w:r w:rsidRPr="0065693E">
        <w:rPr>
          <w:rFonts w:ascii="宋体" w:hAnsi="宋体" w:cs="宋体" w:hint="eastAsia"/>
          <w:kern w:val="0"/>
          <w:sz w:val="24"/>
        </w:rPr>
        <w:t>（五）结余募集资金使用情况</w:t>
      </w:r>
    </w:p>
    <w:p w14:paraId="3526F206" w14:textId="77777777" w:rsidR="0065693E" w:rsidRPr="0065693E" w:rsidRDefault="0065693E" w:rsidP="0065693E">
      <w:pPr>
        <w:widowControl/>
        <w:spacing w:line="360" w:lineRule="auto"/>
        <w:ind w:firstLineChars="200" w:firstLine="480"/>
        <w:rPr>
          <w:rFonts w:ascii="宋体" w:hAnsi="宋体" w:cs="宋体"/>
          <w:kern w:val="0"/>
          <w:sz w:val="24"/>
        </w:rPr>
      </w:pPr>
      <w:r w:rsidRPr="0065693E">
        <w:rPr>
          <w:rFonts w:ascii="宋体" w:hAnsi="宋体" w:cs="宋体" w:hint="eastAsia"/>
          <w:kern w:val="0"/>
          <w:sz w:val="24"/>
        </w:rPr>
        <w:t>鉴于非公开发行募集资金项目已完成，为盘活募集资金使用，公司于2022年9月15日第七届董事会第二十二次会议决议同意将铺底流动资金3,836.00万元转出以及将截至当时的项目结余募集资金金额 14,456.56万元（以资金转出当日银行结息后实际金额为准）永久补充流动资金，以支持公司产业发展及生产经营。（内容详见公司在上海证券交易所网站（www.sse.com.cn）披露的临2022-045号公告），本次变更经公司2022年年度股东大会审议通过（内容详见公司在上海证券交易所网站（www.sse.com.cn）披露的临 2022-053号公告）。</w:t>
      </w:r>
    </w:p>
    <w:p w14:paraId="321FA84C" w14:textId="77777777" w:rsidR="0065693E" w:rsidRPr="0065693E" w:rsidRDefault="0065693E" w:rsidP="0065693E">
      <w:pPr>
        <w:widowControl/>
        <w:spacing w:line="360" w:lineRule="auto"/>
        <w:ind w:firstLineChars="200" w:firstLine="480"/>
        <w:rPr>
          <w:rFonts w:ascii="宋体" w:hAnsi="宋体" w:cs="宋体"/>
          <w:kern w:val="0"/>
          <w:sz w:val="24"/>
        </w:rPr>
      </w:pPr>
      <w:r w:rsidRPr="0065693E">
        <w:rPr>
          <w:rFonts w:ascii="宋体" w:hAnsi="宋体" w:cs="宋体" w:hint="eastAsia"/>
          <w:kern w:val="0"/>
          <w:sz w:val="24"/>
        </w:rPr>
        <w:t>截止2022年12月31日实际转出项目结余募集资金20,276.15万元永久补充流动资金，剩余7.39万元募集资金仍存放于募集资金专户中。截至本公告日，公司已将资金转入公司基本账户并完成募集资金专用账户的销户手续。</w:t>
      </w:r>
    </w:p>
    <w:p w14:paraId="03883677" w14:textId="77777777" w:rsidR="0065693E" w:rsidRPr="0065693E" w:rsidRDefault="0065693E" w:rsidP="0065693E">
      <w:pPr>
        <w:widowControl/>
        <w:spacing w:line="360" w:lineRule="auto"/>
        <w:ind w:firstLineChars="200" w:firstLine="480"/>
        <w:rPr>
          <w:rFonts w:ascii="宋体" w:hAnsi="宋体" w:cs="宋体"/>
          <w:kern w:val="0"/>
          <w:sz w:val="24"/>
        </w:rPr>
      </w:pPr>
      <w:r w:rsidRPr="0065693E">
        <w:rPr>
          <w:rFonts w:ascii="宋体" w:hAnsi="宋体" w:cs="宋体" w:hint="eastAsia"/>
          <w:kern w:val="0"/>
          <w:sz w:val="24"/>
        </w:rPr>
        <w:t>（六）募集资金使用的其他情况</w:t>
      </w:r>
    </w:p>
    <w:p w14:paraId="38C37FC1" w14:textId="664C9625" w:rsidR="00BB48BB" w:rsidRPr="0065693E" w:rsidRDefault="0065693E" w:rsidP="0065693E">
      <w:pPr>
        <w:widowControl/>
        <w:spacing w:line="360" w:lineRule="auto"/>
        <w:ind w:firstLineChars="200" w:firstLine="480"/>
        <w:rPr>
          <w:rFonts w:ascii="宋体" w:hAnsi="宋体" w:cs="宋体"/>
          <w:kern w:val="0"/>
          <w:sz w:val="24"/>
        </w:rPr>
      </w:pPr>
      <w:r w:rsidRPr="0065693E">
        <w:rPr>
          <w:rFonts w:ascii="宋体" w:hAnsi="宋体" w:cs="宋体" w:hint="eastAsia"/>
          <w:kern w:val="0"/>
          <w:sz w:val="24"/>
        </w:rPr>
        <w:lastRenderedPageBreak/>
        <w:t>无</w:t>
      </w:r>
    </w:p>
    <w:p w14:paraId="3F08ED99" w14:textId="7E459260" w:rsidR="00E9734D" w:rsidRDefault="00E9734D" w:rsidP="00E9734D">
      <w:pPr>
        <w:widowControl/>
        <w:spacing w:line="360" w:lineRule="auto"/>
        <w:ind w:firstLineChars="200" w:firstLine="482"/>
        <w:rPr>
          <w:rFonts w:ascii="宋体" w:hAnsi="宋体"/>
          <w:b/>
          <w:color w:val="000000" w:themeColor="text1"/>
          <w:kern w:val="0"/>
          <w:sz w:val="24"/>
        </w:rPr>
      </w:pPr>
      <w:r>
        <w:rPr>
          <w:rFonts w:ascii="宋体" w:hAnsi="宋体"/>
          <w:b/>
          <w:color w:val="000000" w:themeColor="text1"/>
          <w:kern w:val="0"/>
          <w:sz w:val="24"/>
        </w:rPr>
        <w:t>四、变更</w:t>
      </w:r>
      <w:proofErr w:type="gramStart"/>
      <w:r>
        <w:rPr>
          <w:rFonts w:ascii="宋体" w:hAnsi="宋体"/>
          <w:b/>
          <w:color w:val="000000" w:themeColor="text1"/>
          <w:kern w:val="0"/>
          <w:sz w:val="24"/>
        </w:rPr>
        <w:t>募投项目</w:t>
      </w:r>
      <w:proofErr w:type="gramEnd"/>
      <w:r>
        <w:rPr>
          <w:rFonts w:ascii="宋体" w:hAnsi="宋体"/>
          <w:b/>
          <w:color w:val="000000" w:themeColor="text1"/>
          <w:kern w:val="0"/>
          <w:sz w:val="24"/>
        </w:rPr>
        <w:t>的资金使用情况</w:t>
      </w:r>
    </w:p>
    <w:p w14:paraId="3003AB61" w14:textId="77777777" w:rsidR="00F00178" w:rsidRPr="00F00178" w:rsidRDefault="00F00178" w:rsidP="00F00178">
      <w:pPr>
        <w:spacing w:line="360" w:lineRule="auto"/>
        <w:ind w:firstLineChars="200" w:firstLine="480"/>
        <w:rPr>
          <w:rFonts w:ascii="宋体" w:hAnsi="宋体"/>
          <w:kern w:val="0"/>
          <w:sz w:val="24"/>
        </w:rPr>
      </w:pPr>
      <w:r w:rsidRPr="00F00178">
        <w:rPr>
          <w:rFonts w:ascii="宋体" w:hAnsi="宋体" w:hint="eastAsia"/>
          <w:kern w:val="0"/>
          <w:sz w:val="24"/>
        </w:rPr>
        <w:t>公司非公开发行</w:t>
      </w:r>
      <w:proofErr w:type="gramStart"/>
      <w:r w:rsidRPr="00F00178">
        <w:rPr>
          <w:rFonts w:ascii="宋体" w:hAnsi="宋体" w:hint="eastAsia"/>
          <w:kern w:val="0"/>
          <w:sz w:val="24"/>
        </w:rPr>
        <w:t>募投项目</w:t>
      </w:r>
      <w:proofErr w:type="gramEnd"/>
      <w:r w:rsidRPr="00F00178">
        <w:rPr>
          <w:rFonts w:ascii="宋体" w:hAnsi="宋体" w:hint="eastAsia"/>
          <w:kern w:val="0"/>
          <w:sz w:val="24"/>
        </w:rPr>
        <w:t>涉及募集资金变更投向，有关情况参见“变更募集资金投资项目情况表”（附表2）。</w:t>
      </w:r>
    </w:p>
    <w:p w14:paraId="2EE93DAD" w14:textId="5B8CBE3B" w:rsidR="00BB48BB" w:rsidRPr="00740464" w:rsidRDefault="00F00178" w:rsidP="00F00178">
      <w:pPr>
        <w:spacing w:line="360" w:lineRule="auto"/>
        <w:ind w:firstLineChars="200" w:firstLine="480"/>
        <w:rPr>
          <w:rFonts w:ascii="宋体" w:hAnsi="宋体"/>
          <w:kern w:val="0"/>
          <w:sz w:val="24"/>
        </w:rPr>
      </w:pPr>
      <w:r w:rsidRPr="00F00178">
        <w:rPr>
          <w:rFonts w:ascii="宋体" w:hAnsi="宋体" w:hint="eastAsia"/>
          <w:kern w:val="0"/>
          <w:sz w:val="24"/>
        </w:rPr>
        <w:t>2019年4月25日公司第六届董事会第十五次会议审议通过了《关于变更募集资金项目并将剩余募集资金永久补充流动资金的议案》，同意变更原非公开发行</w:t>
      </w:r>
      <w:proofErr w:type="gramStart"/>
      <w:r w:rsidRPr="00F00178">
        <w:rPr>
          <w:rFonts w:ascii="宋体" w:hAnsi="宋体" w:hint="eastAsia"/>
          <w:kern w:val="0"/>
          <w:sz w:val="24"/>
        </w:rPr>
        <w:t>募投项目</w:t>
      </w:r>
      <w:proofErr w:type="gramEnd"/>
      <w:r w:rsidRPr="00F00178">
        <w:rPr>
          <w:rFonts w:ascii="宋体" w:hAnsi="宋体" w:hint="eastAsia"/>
          <w:kern w:val="0"/>
          <w:sz w:val="24"/>
        </w:rPr>
        <w:t>募集资金投入，变更后总投资金额</w:t>
      </w:r>
      <w:r w:rsidR="005840C0">
        <w:rPr>
          <w:rFonts w:ascii="宋体" w:hAnsi="宋体" w:hint="eastAsia"/>
          <w:kern w:val="0"/>
          <w:sz w:val="24"/>
        </w:rPr>
        <w:t>57,684.00</w:t>
      </w:r>
      <w:r w:rsidRPr="00F00178">
        <w:rPr>
          <w:rFonts w:ascii="宋体" w:hAnsi="宋体" w:hint="eastAsia"/>
          <w:kern w:val="0"/>
          <w:sz w:val="24"/>
        </w:rPr>
        <w:t xml:space="preserve">万元，剩余募集资金永久补充流动资金用于归还母公司短期借款（内容详见公司在上海证券交易所网站（www.sse.com.cn）披露的临 2019-022 号公告），本次变更经公司2018年年度股东大会审议通过（内容详见公司在上海证券交易所网站（www.sse.com.cn）披露的临 2019-027 </w:t>
      </w:r>
      <w:r>
        <w:rPr>
          <w:rFonts w:ascii="宋体" w:hAnsi="宋体" w:hint="eastAsia"/>
          <w:kern w:val="0"/>
          <w:sz w:val="24"/>
        </w:rPr>
        <w:t>号公告）</w:t>
      </w:r>
      <w:r w:rsidR="00740464" w:rsidRPr="004A5168">
        <w:rPr>
          <w:rFonts w:ascii="宋体" w:hAnsi="宋体"/>
          <w:kern w:val="0"/>
          <w:sz w:val="24"/>
        </w:rPr>
        <w:t>。</w:t>
      </w:r>
    </w:p>
    <w:p w14:paraId="44EFD4F0" w14:textId="77777777" w:rsidR="00E9734D" w:rsidRDefault="00E9734D" w:rsidP="00E9734D">
      <w:pPr>
        <w:widowControl/>
        <w:spacing w:line="360" w:lineRule="auto"/>
        <w:ind w:firstLineChars="200" w:firstLine="482"/>
        <w:rPr>
          <w:rFonts w:ascii="宋体" w:hAnsi="宋体"/>
          <w:b/>
          <w:color w:val="000000" w:themeColor="text1"/>
          <w:kern w:val="0"/>
          <w:sz w:val="24"/>
        </w:rPr>
      </w:pPr>
      <w:r>
        <w:rPr>
          <w:rFonts w:ascii="宋体" w:hAnsi="宋体"/>
          <w:b/>
          <w:color w:val="000000" w:themeColor="text1"/>
          <w:kern w:val="0"/>
          <w:sz w:val="24"/>
        </w:rPr>
        <w:t>五、募集资金使用及披露中存在的问题</w:t>
      </w:r>
    </w:p>
    <w:p w14:paraId="4295241E" w14:textId="77777777" w:rsidR="00F00178" w:rsidRPr="00F00178" w:rsidRDefault="00F00178" w:rsidP="00F00178">
      <w:pPr>
        <w:widowControl/>
        <w:spacing w:line="360" w:lineRule="auto"/>
        <w:ind w:firstLineChars="200" w:firstLine="480"/>
        <w:rPr>
          <w:rFonts w:ascii="宋体" w:hAnsi="宋体"/>
          <w:kern w:val="0"/>
          <w:sz w:val="24"/>
        </w:rPr>
      </w:pPr>
      <w:r w:rsidRPr="00F00178">
        <w:rPr>
          <w:rFonts w:ascii="宋体" w:hAnsi="宋体" w:hint="eastAsia"/>
          <w:kern w:val="0"/>
          <w:sz w:val="24"/>
        </w:rPr>
        <w:t>公司募集资金使用严格遵照相关法律法规及公司募集资金管理制度的规定。</w:t>
      </w:r>
    </w:p>
    <w:p w14:paraId="164B0319" w14:textId="6F2DAEC3" w:rsidR="00740464" w:rsidRDefault="00F00178" w:rsidP="00F00178">
      <w:pPr>
        <w:widowControl/>
        <w:spacing w:line="360" w:lineRule="auto"/>
        <w:ind w:firstLineChars="200" w:firstLine="480"/>
        <w:rPr>
          <w:rFonts w:ascii="宋体" w:hAnsi="宋体"/>
          <w:kern w:val="0"/>
          <w:sz w:val="24"/>
        </w:rPr>
      </w:pPr>
      <w:r w:rsidRPr="00F00178">
        <w:rPr>
          <w:rFonts w:ascii="宋体" w:hAnsi="宋体" w:hint="eastAsia"/>
          <w:kern w:val="0"/>
          <w:sz w:val="24"/>
        </w:rPr>
        <w:t>公司</w:t>
      </w:r>
      <w:r>
        <w:rPr>
          <w:rFonts w:ascii="宋体" w:hAnsi="宋体" w:hint="eastAsia"/>
          <w:kern w:val="0"/>
          <w:sz w:val="24"/>
        </w:rPr>
        <w:t>已披露的相关信息能及时、真实、准确、完整的披露募集资金管理情况</w:t>
      </w:r>
      <w:r w:rsidR="00740464" w:rsidRPr="004A5168">
        <w:rPr>
          <w:rFonts w:ascii="宋体" w:hAnsi="宋体"/>
          <w:kern w:val="0"/>
          <w:sz w:val="24"/>
        </w:rPr>
        <w:t>。</w:t>
      </w:r>
    </w:p>
    <w:p w14:paraId="6E213011" w14:textId="5F17B5A1" w:rsidR="00146121" w:rsidRPr="00146121" w:rsidRDefault="00146121" w:rsidP="00146121">
      <w:pPr>
        <w:widowControl/>
        <w:spacing w:line="360" w:lineRule="auto"/>
        <w:ind w:firstLineChars="200" w:firstLine="482"/>
        <w:rPr>
          <w:rFonts w:ascii="宋体" w:hAnsi="宋体"/>
          <w:b/>
          <w:kern w:val="0"/>
          <w:sz w:val="24"/>
        </w:rPr>
      </w:pPr>
      <w:r w:rsidRPr="00146121">
        <w:rPr>
          <w:rFonts w:ascii="宋体" w:hAnsi="宋体" w:hint="eastAsia"/>
          <w:b/>
          <w:kern w:val="0"/>
          <w:sz w:val="24"/>
        </w:rPr>
        <w:t>六、会计师事</w:t>
      </w:r>
      <w:r>
        <w:rPr>
          <w:rFonts w:ascii="宋体" w:hAnsi="宋体" w:hint="eastAsia"/>
          <w:b/>
          <w:kern w:val="0"/>
          <w:sz w:val="24"/>
        </w:rPr>
        <w:t>务所对公司年度募集资金存放与使用情况出具的</w:t>
      </w:r>
      <w:proofErr w:type="gramStart"/>
      <w:r>
        <w:rPr>
          <w:rFonts w:ascii="宋体" w:hAnsi="宋体" w:hint="eastAsia"/>
          <w:b/>
          <w:kern w:val="0"/>
          <w:sz w:val="24"/>
        </w:rPr>
        <w:t>鉴证</w:t>
      </w:r>
      <w:proofErr w:type="gramEnd"/>
      <w:r>
        <w:rPr>
          <w:rFonts w:ascii="宋体" w:hAnsi="宋体" w:hint="eastAsia"/>
          <w:b/>
          <w:kern w:val="0"/>
          <w:sz w:val="24"/>
        </w:rPr>
        <w:t>报告的结论性意见</w:t>
      </w:r>
    </w:p>
    <w:p w14:paraId="0A3DE142" w14:textId="1F1D60C4" w:rsidR="00146121" w:rsidRPr="00F00178" w:rsidRDefault="00F00178" w:rsidP="00F00178">
      <w:pPr>
        <w:spacing w:line="360" w:lineRule="auto"/>
        <w:ind w:firstLineChars="200" w:firstLine="480"/>
        <w:rPr>
          <w:rFonts w:ascii="Arial" w:hAnsi="宋体" w:cs="Arial"/>
          <w:sz w:val="24"/>
        </w:rPr>
      </w:pPr>
      <w:r w:rsidRPr="00F00178">
        <w:rPr>
          <w:rFonts w:ascii="Arial" w:hAnsi="宋体" w:cs="Arial"/>
          <w:sz w:val="24"/>
        </w:rPr>
        <w:t>我们认为，</w:t>
      </w:r>
      <w:r w:rsidRPr="00F00178">
        <w:rPr>
          <w:rFonts w:ascii="Arial" w:hAnsi="宋体" w:cs="Arial" w:hint="eastAsia"/>
          <w:sz w:val="24"/>
        </w:rPr>
        <w:t>贵公司</w:t>
      </w:r>
      <w:r w:rsidRPr="00F00178">
        <w:rPr>
          <w:rFonts w:ascii="Arial" w:hAnsi="宋体" w:cs="Arial"/>
          <w:sz w:val="24"/>
        </w:rPr>
        <w:t>截</w:t>
      </w:r>
      <w:r w:rsidRPr="00F00178">
        <w:rPr>
          <w:rFonts w:ascii="宋体" w:hAnsi="宋体" w:cs="Arial"/>
          <w:sz w:val="24"/>
        </w:rPr>
        <w:t>至202</w:t>
      </w:r>
      <w:r w:rsidRPr="00F00178">
        <w:rPr>
          <w:rFonts w:ascii="宋体" w:hAnsi="宋体" w:cs="Arial" w:hint="eastAsia"/>
          <w:sz w:val="24"/>
        </w:rPr>
        <w:t>2</w:t>
      </w:r>
      <w:r w:rsidRPr="00F00178">
        <w:rPr>
          <w:rFonts w:ascii="宋体" w:hAnsi="宋体" w:cs="Arial"/>
          <w:sz w:val="24"/>
        </w:rPr>
        <w:t>年12月31日</w:t>
      </w:r>
      <w:r w:rsidRPr="00F00178">
        <w:rPr>
          <w:rFonts w:ascii="Arial" w:hAnsi="宋体" w:cs="Arial"/>
          <w:sz w:val="24"/>
        </w:rPr>
        <w:t>止的《董事会关于公司募集资金年度存放与实际使用情况的专项报告》在所有重大方面按照《上市公司监管指引第</w:t>
      </w:r>
      <w:r w:rsidRPr="00F00178">
        <w:rPr>
          <w:rFonts w:ascii="Arial" w:hAnsi="Arial" w:cs="Arial"/>
          <w:sz w:val="24"/>
        </w:rPr>
        <w:t>2</w:t>
      </w:r>
      <w:r w:rsidRPr="00F00178">
        <w:rPr>
          <w:rFonts w:ascii="Arial" w:hAnsi="宋体" w:cs="Arial"/>
          <w:sz w:val="24"/>
        </w:rPr>
        <w:t>号</w:t>
      </w:r>
      <w:r w:rsidRPr="00F00178">
        <w:rPr>
          <w:rFonts w:ascii="Arial" w:hAnsi="Arial" w:cs="Arial" w:hint="eastAsia"/>
          <w:sz w:val="24"/>
        </w:rPr>
        <w:t>——</w:t>
      </w:r>
      <w:r w:rsidRPr="00F00178">
        <w:rPr>
          <w:rFonts w:ascii="Arial" w:hAnsi="宋体" w:cs="Arial"/>
          <w:sz w:val="24"/>
        </w:rPr>
        <w:t>上市公司募集资金管理和使用的监管要求》和</w:t>
      </w:r>
      <w:r w:rsidRPr="00F00178">
        <w:rPr>
          <w:rFonts w:ascii="Arial" w:hAnsi="宋体" w:cs="Arial" w:hint="eastAsia"/>
          <w:sz w:val="24"/>
        </w:rPr>
        <w:t>《上海证券交易所上市公司自律监管指引第</w:t>
      </w:r>
      <w:r w:rsidRPr="00F00178">
        <w:rPr>
          <w:rFonts w:ascii="Arial" w:hAnsi="宋体" w:cs="Arial" w:hint="eastAsia"/>
          <w:sz w:val="24"/>
        </w:rPr>
        <w:t>1</w:t>
      </w:r>
      <w:r w:rsidRPr="00F00178">
        <w:rPr>
          <w:rFonts w:ascii="Arial" w:hAnsi="宋体" w:cs="Arial" w:hint="eastAsia"/>
          <w:sz w:val="24"/>
        </w:rPr>
        <w:t>号——规范运作》</w:t>
      </w:r>
      <w:r w:rsidRPr="00F00178">
        <w:rPr>
          <w:rFonts w:ascii="Arial" w:hAnsi="宋体" w:cs="Arial"/>
          <w:sz w:val="24"/>
        </w:rPr>
        <w:t>等有关规定编制。</w:t>
      </w:r>
    </w:p>
    <w:p w14:paraId="02F755CE" w14:textId="0CF45C35" w:rsidR="00146121" w:rsidRPr="00146121" w:rsidRDefault="00146121" w:rsidP="00146121">
      <w:pPr>
        <w:widowControl/>
        <w:spacing w:line="360" w:lineRule="auto"/>
        <w:ind w:firstLineChars="200" w:firstLine="482"/>
        <w:rPr>
          <w:rFonts w:ascii="宋体" w:hAnsi="宋体"/>
          <w:b/>
          <w:kern w:val="0"/>
          <w:sz w:val="24"/>
        </w:rPr>
      </w:pPr>
      <w:r w:rsidRPr="00146121">
        <w:rPr>
          <w:rFonts w:ascii="宋体" w:hAnsi="宋体" w:hint="eastAsia"/>
          <w:b/>
          <w:kern w:val="0"/>
          <w:sz w:val="24"/>
        </w:rPr>
        <w:t>七、保荐人对</w:t>
      </w:r>
      <w:r>
        <w:rPr>
          <w:rFonts w:ascii="宋体" w:hAnsi="宋体" w:hint="eastAsia"/>
          <w:b/>
          <w:kern w:val="0"/>
          <w:sz w:val="24"/>
        </w:rPr>
        <w:t>公司年度募集资金存放与使用情况所出具的专项核查报告的结论性意见</w:t>
      </w:r>
    </w:p>
    <w:p w14:paraId="5AA3618A" w14:textId="67F0450E" w:rsidR="00F00178" w:rsidRDefault="00F00178" w:rsidP="00F00178">
      <w:pPr>
        <w:spacing w:line="360" w:lineRule="auto"/>
        <w:ind w:firstLineChars="200" w:firstLine="480"/>
        <w:rPr>
          <w:rFonts w:ascii="Arial" w:hAnsi="宋体" w:cs="Arial"/>
          <w:sz w:val="24"/>
          <w:szCs w:val="22"/>
        </w:rPr>
        <w:sectPr w:rsidR="00F00178">
          <w:headerReference w:type="default" r:id="rId6"/>
          <w:footerReference w:type="default" r:id="rId7"/>
          <w:pgSz w:w="11906" w:h="16838"/>
          <w:pgMar w:top="1440" w:right="1800" w:bottom="1440" w:left="1800" w:header="851" w:footer="992" w:gutter="0"/>
          <w:cols w:space="720"/>
          <w:docGrid w:type="lines" w:linePitch="312"/>
        </w:sectPr>
      </w:pPr>
      <w:r>
        <w:rPr>
          <w:rFonts w:ascii="宋体" w:hAnsi="宋体" w:hint="eastAsia"/>
          <w:sz w:val="24"/>
        </w:rPr>
        <w:t>经核</w:t>
      </w:r>
      <w:r>
        <w:rPr>
          <w:rFonts w:ascii="Arial" w:hAnsi="宋体" w:cs="Arial" w:hint="eastAsia"/>
          <w:sz w:val="24"/>
          <w:szCs w:val="22"/>
        </w:rPr>
        <w:t>查，招商证券认为：</w:t>
      </w:r>
      <w:r>
        <w:rPr>
          <w:rFonts w:ascii="Arial" w:hAnsi="宋体" w:cs="Arial" w:hint="eastAsia"/>
          <w:sz w:val="24"/>
          <w:szCs w:val="22"/>
        </w:rPr>
        <w:t>2022</w:t>
      </w:r>
      <w:r>
        <w:rPr>
          <w:rFonts w:ascii="Arial" w:hAnsi="宋体" w:cs="Arial" w:hint="eastAsia"/>
          <w:sz w:val="24"/>
          <w:szCs w:val="22"/>
        </w:rPr>
        <w:t>年度，航天动力的募集资金存放与使用情况专项报告符合《上海证券交易所股票上市规则》、《上市公司监管指引第</w:t>
      </w:r>
      <w:r>
        <w:rPr>
          <w:rFonts w:ascii="Arial" w:hAnsi="宋体" w:cs="Arial" w:hint="eastAsia"/>
          <w:sz w:val="24"/>
          <w:szCs w:val="22"/>
        </w:rPr>
        <w:t>2</w:t>
      </w:r>
      <w:r>
        <w:rPr>
          <w:rFonts w:ascii="Arial" w:hAnsi="宋体" w:cs="Arial" w:hint="eastAsia"/>
          <w:sz w:val="24"/>
          <w:szCs w:val="22"/>
        </w:rPr>
        <w:t>号——上市公司募集资金管理和使用的监管要求》等文件的规定。对募集资金进行了专户存放和专项使用，不存在变相改变募集资金用途和损害股东利益的情形，不存在违规使用募集资金的情形</w:t>
      </w:r>
      <w:r>
        <w:rPr>
          <w:rFonts w:ascii="Arial" w:hAnsi="宋体" w:cs="Arial" w:hint="eastAsia"/>
          <w:sz w:val="24"/>
        </w:rPr>
        <w:t>。</w:t>
      </w:r>
    </w:p>
    <w:p w14:paraId="56C291A6" w14:textId="1142D47A" w:rsidR="00E9734D" w:rsidRPr="00E9734D" w:rsidRDefault="00E9734D" w:rsidP="00F00178">
      <w:pPr>
        <w:spacing w:line="360" w:lineRule="auto"/>
        <w:ind w:firstLineChars="200" w:firstLine="480"/>
        <w:rPr>
          <w:rFonts w:ascii="宋体" w:hAnsi="宋体"/>
          <w:kern w:val="0"/>
          <w:sz w:val="24"/>
        </w:rPr>
      </w:pPr>
      <w:r w:rsidRPr="00E9734D">
        <w:rPr>
          <w:rFonts w:ascii="宋体" w:hAnsi="宋体"/>
          <w:kern w:val="0"/>
          <w:sz w:val="24"/>
        </w:rPr>
        <w:lastRenderedPageBreak/>
        <w:t>特此公告。</w:t>
      </w:r>
    </w:p>
    <w:p w14:paraId="015A76A8" w14:textId="77777777" w:rsidR="00E9734D" w:rsidRPr="00E9734D" w:rsidRDefault="00E9734D" w:rsidP="00E9734D">
      <w:pPr>
        <w:spacing w:line="360" w:lineRule="auto"/>
        <w:ind w:firstLineChars="1300" w:firstLine="3120"/>
        <w:rPr>
          <w:rFonts w:ascii="宋体" w:hAnsi="宋体"/>
          <w:kern w:val="0"/>
          <w:sz w:val="24"/>
        </w:rPr>
      </w:pPr>
      <w:r w:rsidRPr="00E9734D">
        <w:rPr>
          <w:rFonts w:ascii="宋体" w:hAnsi="宋体"/>
          <w:kern w:val="0"/>
          <w:sz w:val="24"/>
        </w:rPr>
        <w:t xml:space="preserve">     陕西航天动力高科技股份有限公司董事会</w:t>
      </w:r>
    </w:p>
    <w:p w14:paraId="0686CD59" w14:textId="2FEACDD1" w:rsidR="00E9734D" w:rsidRPr="00E9734D" w:rsidRDefault="00E9734D" w:rsidP="00E9734D">
      <w:pPr>
        <w:spacing w:line="360" w:lineRule="auto"/>
        <w:ind w:firstLineChars="200" w:firstLine="480"/>
        <w:rPr>
          <w:rFonts w:ascii="宋体" w:hAnsi="宋体"/>
          <w:kern w:val="0"/>
          <w:sz w:val="24"/>
        </w:rPr>
      </w:pPr>
      <w:r w:rsidRPr="00E9734D">
        <w:rPr>
          <w:rFonts w:ascii="宋体" w:hAnsi="宋体"/>
          <w:kern w:val="0"/>
          <w:sz w:val="24"/>
        </w:rPr>
        <w:t xml:space="preserve">                                 </w:t>
      </w:r>
      <w:r w:rsidR="00307664">
        <w:rPr>
          <w:rFonts w:ascii="宋体" w:hAnsi="宋体"/>
          <w:kern w:val="0"/>
          <w:sz w:val="24"/>
        </w:rPr>
        <w:t xml:space="preserve">  </w:t>
      </w:r>
      <w:r w:rsidRPr="00E9734D">
        <w:rPr>
          <w:rFonts w:ascii="宋体" w:hAnsi="宋体"/>
          <w:kern w:val="0"/>
          <w:sz w:val="24"/>
        </w:rPr>
        <w:t xml:space="preserve"> </w:t>
      </w:r>
      <w:r>
        <w:rPr>
          <w:rFonts w:ascii="宋体" w:hAnsi="宋体"/>
          <w:kern w:val="0"/>
          <w:sz w:val="24"/>
        </w:rPr>
        <w:t>202</w:t>
      </w:r>
      <w:r w:rsidR="00F00178">
        <w:rPr>
          <w:rFonts w:ascii="宋体" w:hAnsi="宋体"/>
          <w:kern w:val="0"/>
          <w:sz w:val="24"/>
        </w:rPr>
        <w:t>3</w:t>
      </w:r>
      <w:r w:rsidRPr="00E9734D">
        <w:rPr>
          <w:rFonts w:ascii="宋体" w:hAnsi="宋体"/>
          <w:kern w:val="0"/>
          <w:sz w:val="24"/>
        </w:rPr>
        <w:t>年</w:t>
      </w:r>
      <w:r>
        <w:rPr>
          <w:rFonts w:ascii="宋体" w:hAnsi="宋体"/>
          <w:kern w:val="0"/>
          <w:sz w:val="24"/>
        </w:rPr>
        <w:t>4</w:t>
      </w:r>
      <w:r w:rsidRPr="00E9734D">
        <w:rPr>
          <w:rFonts w:ascii="宋体" w:hAnsi="宋体"/>
          <w:kern w:val="0"/>
          <w:sz w:val="24"/>
        </w:rPr>
        <w:t>月</w:t>
      </w:r>
      <w:r>
        <w:rPr>
          <w:rFonts w:ascii="宋体" w:hAnsi="宋体"/>
          <w:kern w:val="0"/>
          <w:sz w:val="24"/>
        </w:rPr>
        <w:t>2</w:t>
      </w:r>
      <w:r w:rsidR="00BB48BB">
        <w:rPr>
          <w:rFonts w:ascii="宋体" w:hAnsi="宋体"/>
          <w:kern w:val="0"/>
          <w:sz w:val="24"/>
        </w:rPr>
        <w:t>9</w:t>
      </w:r>
      <w:r w:rsidRPr="00E9734D">
        <w:rPr>
          <w:rFonts w:ascii="宋体" w:hAnsi="宋体"/>
          <w:kern w:val="0"/>
          <w:sz w:val="24"/>
        </w:rPr>
        <w:t>日</w:t>
      </w:r>
    </w:p>
    <w:p w14:paraId="7C80794A" w14:textId="77777777" w:rsidR="00E9734D" w:rsidRPr="004843E4" w:rsidRDefault="00E9734D" w:rsidP="00E9734D">
      <w:pPr>
        <w:rPr>
          <w:rFonts w:eastAsiaTheme="minorEastAsia"/>
        </w:rPr>
        <w:sectPr w:rsidR="00E9734D" w:rsidRPr="004843E4" w:rsidSect="001E6B6F">
          <w:headerReference w:type="default" r:id="rId8"/>
          <w:footerReference w:type="default" r:id="rId9"/>
          <w:pgSz w:w="11906" w:h="16838"/>
          <w:pgMar w:top="1440" w:right="1753" w:bottom="1440" w:left="1753" w:header="851" w:footer="992" w:gutter="0"/>
          <w:cols w:space="425"/>
          <w:docGrid w:type="lines" w:linePitch="312"/>
        </w:sectPr>
      </w:pPr>
    </w:p>
    <w:p w14:paraId="76B0F6CC" w14:textId="77777777" w:rsidR="00066142" w:rsidRDefault="00066142" w:rsidP="00066142">
      <w:pPr>
        <w:spacing w:line="60" w:lineRule="atLeast"/>
        <w:ind w:right="945"/>
        <w:rPr>
          <w:rFonts w:ascii="宋体" w:hAnsi="宋体"/>
          <w:b/>
          <w:color w:val="000000"/>
          <w:sz w:val="24"/>
        </w:rPr>
      </w:pPr>
      <w:r>
        <w:rPr>
          <w:rFonts w:ascii="宋体" w:hAnsi="宋体" w:hint="eastAsia"/>
          <w:b/>
          <w:color w:val="000000"/>
          <w:sz w:val="24"/>
        </w:rPr>
        <w:lastRenderedPageBreak/>
        <w:t>附表1：</w:t>
      </w:r>
    </w:p>
    <w:p w14:paraId="7DF8F075" w14:textId="77777777" w:rsidR="00066142" w:rsidRDefault="00066142" w:rsidP="00066142">
      <w:pPr>
        <w:ind w:firstLineChars="2500" w:firstLine="6023"/>
        <w:rPr>
          <w:rFonts w:ascii="宋体" w:hAnsi="宋体"/>
          <w:b/>
          <w:color w:val="000000"/>
          <w:sz w:val="24"/>
        </w:rPr>
      </w:pPr>
      <w:r>
        <w:rPr>
          <w:rFonts w:ascii="宋体" w:hAnsi="宋体" w:hint="eastAsia"/>
          <w:b/>
          <w:color w:val="000000"/>
          <w:sz w:val="24"/>
        </w:rPr>
        <w:t>募集资金使用情况对照表</w:t>
      </w:r>
    </w:p>
    <w:p w14:paraId="522DBE8D" w14:textId="69AAB689" w:rsidR="00066142" w:rsidRDefault="00066142" w:rsidP="00066142">
      <w:pPr>
        <w:spacing w:line="60" w:lineRule="atLeast"/>
        <w:ind w:right="945"/>
        <w:jc w:val="center"/>
        <w:rPr>
          <w:rFonts w:ascii="宋体" w:hAnsi="宋体"/>
          <w:b/>
          <w:color w:val="000000"/>
          <w:sz w:val="24"/>
        </w:rPr>
      </w:pPr>
      <w:r>
        <w:rPr>
          <w:rFonts w:ascii="宋体" w:hAnsi="宋体"/>
          <w:b/>
          <w:color w:val="000000"/>
          <w:sz w:val="24"/>
        </w:rPr>
        <w:t xml:space="preserve"> </w:t>
      </w:r>
      <w:r>
        <w:rPr>
          <w:rFonts w:ascii="宋体" w:hAnsi="宋体" w:hint="eastAsia"/>
          <w:b/>
          <w:color w:val="000000"/>
          <w:sz w:val="24"/>
        </w:rPr>
        <w:t>2022年度</w:t>
      </w:r>
    </w:p>
    <w:tbl>
      <w:tblPr>
        <w:tblW w:w="0" w:type="auto"/>
        <w:tblLayout w:type="fixed"/>
        <w:tblLook w:val="04A0" w:firstRow="1" w:lastRow="0" w:firstColumn="1" w:lastColumn="0" w:noHBand="0" w:noVBand="1"/>
      </w:tblPr>
      <w:tblGrid>
        <w:gridCol w:w="1934"/>
        <w:gridCol w:w="973"/>
        <w:gridCol w:w="453"/>
        <w:gridCol w:w="823"/>
        <w:gridCol w:w="508"/>
        <w:gridCol w:w="768"/>
        <w:gridCol w:w="791"/>
        <w:gridCol w:w="35"/>
        <w:gridCol w:w="449"/>
        <w:gridCol w:w="1289"/>
        <w:gridCol w:w="1176"/>
        <w:gridCol w:w="879"/>
        <w:gridCol w:w="60"/>
        <w:gridCol w:w="381"/>
        <w:gridCol w:w="913"/>
        <w:gridCol w:w="347"/>
        <w:gridCol w:w="70"/>
        <w:gridCol w:w="717"/>
        <w:gridCol w:w="475"/>
        <w:gridCol w:w="709"/>
        <w:gridCol w:w="297"/>
        <w:gridCol w:w="412"/>
        <w:gridCol w:w="673"/>
        <w:gridCol w:w="569"/>
      </w:tblGrid>
      <w:tr w:rsidR="00066142" w14:paraId="521518D7" w14:textId="77777777" w:rsidTr="00066142">
        <w:trPr>
          <w:gridAfter w:val="1"/>
          <w:wAfter w:w="569" w:type="dxa"/>
          <w:trHeight w:val="450"/>
        </w:trPr>
        <w:tc>
          <w:tcPr>
            <w:tcW w:w="8023" w:type="dxa"/>
            <w:gridSpan w:val="10"/>
            <w:tcBorders>
              <w:top w:val="nil"/>
              <w:left w:val="nil"/>
              <w:bottom w:val="single" w:sz="4" w:space="0" w:color="auto"/>
              <w:right w:val="nil"/>
            </w:tcBorders>
            <w:vAlign w:val="center"/>
            <w:hideMark/>
          </w:tcPr>
          <w:p w14:paraId="3FF3FF6A" w14:textId="77777777" w:rsidR="00066142" w:rsidRDefault="00066142">
            <w:pPr>
              <w:rPr>
                <w:rFonts w:ascii="宋体" w:hAnsi="宋体"/>
                <w:b/>
                <w:bCs/>
                <w:color w:val="000000"/>
                <w:sz w:val="24"/>
              </w:rPr>
            </w:pPr>
            <w:r>
              <w:rPr>
                <w:rFonts w:ascii="宋体" w:hAnsi="宋体" w:hint="eastAsia"/>
                <w:b/>
                <w:bCs/>
                <w:color w:val="000000"/>
                <w:sz w:val="24"/>
              </w:rPr>
              <w:t>编制单位：陕西航天动力高科技股份有限公司</w:t>
            </w:r>
          </w:p>
        </w:tc>
        <w:tc>
          <w:tcPr>
            <w:tcW w:w="7109" w:type="dxa"/>
            <w:gridSpan w:val="13"/>
            <w:tcBorders>
              <w:top w:val="nil"/>
              <w:left w:val="nil"/>
              <w:bottom w:val="single" w:sz="4" w:space="0" w:color="auto"/>
              <w:right w:val="nil"/>
            </w:tcBorders>
            <w:vAlign w:val="center"/>
            <w:hideMark/>
          </w:tcPr>
          <w:p w14:paraId="0E9A5755" w14:textId="77777777" w:rsidR="00066142" w:rsidRDefault="00066142">
            <w:pPr>
              <w:jc w:val="right"/>
              <w:rPr>
                <w:rFonts w:ascii="宋体" w:hAnsi="宋体"/>
                <w:b/>
                <w:bCs/>
                <w:color w:val="000000"/>
                <w:sz w:val="24"/>
              </w:rPr>
            </w:pPr>
            <w:r>
              <w:rPr>
                <w:rFonts w:ascii="宋体" w:hAnsi="宋体" w:hint="eastAsia"/>
                <w:b/>
                <w:bCs/>
                <w:color w:val="000000"/>
                <w:sz w:val="24"/>
              </w:rPr>
              <w:t>金额单位：人民币万元</w:t>
            </w:r>
          </w:p>
        </w:tc>
      </w:tr>
      <w:tr w:rsidR="00066142" w14:paraId="09EF576A" w14:textId="77777777" w:rsidTr="00066142">
        <w:trPr>
          <w:gridAfter w:val="1"/>
          <w:wAfter w:w="569" w:type="dxa"/>
          <w:trHeight w:val="450"/>
        </w:trPr>
        <w:tc>
          <w:tcPr>
            <w:tcW w:w="5459" w:type="dxa"/>
            <w:gridSpan w:val="6"/>
            <w:tcBorders>
              <w:top w:val="single" w:sz="4" w:space="0" w:color="auto"/>
              <w:left w:val="single" w:sz="4" w:space="0" w:color="auto"/>
              <w:bottom w:val="single" w:sz="4" w:space="0" w:color="auto"/>
              <w:right w:val="single" w:sz="4" w:space="0" w:color="auto"/>
            </w:tcBorders>
            <w:vAlign w:val="center"/>
            <w:hideMark/>
          </w:tcPr>
          <w:p w14:paraId="0E66DC75" w14:textId="77777777" w:rsidR="00066142" w:rsidRDefault="00066142">
            <w:pPr>
              <w:jc w:val="center"/>
              <w:rPr>
                <w:rFonts w:ascii="宋体" w:hAnsi="宋体"/>
                <w:color w:val="000000"/>
                <w:szCs w:val="21"/>
              </w:rPr>
            </w:pPr>
            <w:r>
              <w:rPr>
                <w:rFonts w:ascii="宋体" w:hAnsi="宋体" w:hint="eastAsia"/>
                <w:color w:val="000000"/>
                <w:szCs w:val="21"/>
              </w:rPr>
              <w:t>募集资金总额</w:t>
            </w:r>
          </w:p>
        </w:tc>
        <w:tc>
          <w:tcPr>
            <w:tcW w:w="2564" w:type="dxa"/>
            <w:gridSpan w:val="4"/>
            <w:tcBorders>
              <w:top w:val="single" w:sz="4" w:space="0" w:color="auto"/>
              <w:left w:val="nil"/>
              <w:bottom w:val="single" w:sz="4" w:space="0" w:color="auto"/>
              <w:right w:val="single" w:sz="4" w:space="0" w:color="auto"/>
            </w:tcBorders>
            <w:vAlign w:val="center"/>
            <w:hideMark/>
          </w:tcPr>
          <w:p w14:paraId="1B241AA5" w14:textId="77777777" w:rsidR="00066142" w:rsidRDefault="00066142">
            <w:pPr>
              <w:jc w:val="center"/>
              <w:rPr>
                <w:rFonts w:ascii="宋体" w:hAnsi="宋体"/>
                <w:color w:val="000000"/>
                <w:szCs w:val="21"/>
              </w:rPr>
            </w:pPr>
            <w:r>
              <w:rPr>
                <w:rFonts w:ascii="宋体" w:hAnsi="宋体" w:hint="eastAsia"/>
                <w:color w:val="000000"/>
                <w:szCs w:val="21"/>
              </w:rPr>
              <w:t>96,741.78</w:t>
            </w:r>
          </w:p>
        </w:tc>
        <w:tc>
          <w:tcPr>
            <w:tcW w:w="5727" w:type="dxa"/>
            <w:gridSpan w:val="10"/>
            <w:tcBorders>
              <w:top w:val="single" w:sz="4" w:space="0" w:color="auto"/>
              <w:left w:val="nil"/>
              <w:bottom w:val="single" w:sz="4" w:space="0" w:color="auto"/>
              <w:right w:val="single" w:sz="4" w:space="0" w:color="auto"/>
            </w:tcBorders>
            <w:vAlign w:val="center"/>
            <w:hideMark/>
          </w:tcPr>
          <w:p w14:paraId="531EF0E0" w14:textId="77777777" w:rsidR="00066142" w:rsidRDefault="00066142">
            <w:pPr>
              <w:jc w:val="center"/>
              <w:rPr>
                <w:rFonts w:ascii="宋体" w:hAnsi="宋体"/>
                <w:color w:val="000000"/>
                <w:szCs w:val="21"/>
              </w:rPr>
            </w:pPr>
            <w:r>
              <w:rPr>
                <w:rFonts w:ascii="宋体" w:hAnsi="宋体" w:hint="eastAsia"/>
                <w:color w:val="000000"/>
                <w:szCs w:val="21"/>
              </w:rPr>
              <w:t>本期投入募集资金总额</w:t>
            </w:r>
          </w:p>
        </w:tc>
        <w:tc>
          <w:tcPr>
            <w:tcW w:w="1382" w:type="dxa"/>
            <w:gridSpan w:val="3"/>
            <w:tcBorders>
              <w:top w:val="single" w:sz="4" w:space="0" w:color="auto"/>
              <w:left w:val="nil"/>
              <w:bottom w:val="single" w:sz="4" w:space="0" w:color="auto"/>
              <w:right w:val="single" w:sz="4" w:space="0" w:color="auto"/>
            </w:tcBorders>
            <w:vAlign w:val="center"/>
            <w:hideMark/>
          </w:tcPr>
          <w:p w14:paraId="650B9F68" w14:textId="77777777" w:rsidR="00066142" w:rsidRDefault="00066142">
            <w:pPr>
              <w:jc w:val="center"/>
              <w:rPr>
                <w:rFonts w:ascii="宋体" w:hAnsi="宋体"/>
                <w:color w:val="000000"/>
                <w:szCs w:val="21"/>
                <w:highlight w:val="green"/>
              </w:rPr>
            </w:pPr>
            <w:r>
              <w:rPr>
                <w:rFonts w:ascii="宋体" w:hAnsi="宋体" w:cs="Arial" w:hint="eastAsia"/>
                <w:szCs w:val="21"/>
              </w:rPr>
              <w:t>19,695.78</w:t>
            </w:r>
          </w:p>
        </w:tc>
      </w:tr>
      <w:tr w:rsidR="00066142" w14:paraId="5C2EE944" w14:textId="77777777" w:rsidTr="00066142">
        <w:trPr>
          <w:gridAfter w:val="1"/>
          <w:wAfter w:w="569" w:type="dxa"/>
          <w:trHeight w:val="450"/>
        </w:trPr>
        <w:tc>
          <w:tcPr>
            <w:tcW w:w="5459" w:type="dxa"/>
            <w:gridSpan w:val="6"/>
            <w:tcBorders>
              <w:top w:val="single" w:sz="4" w:space="0" w:color="auto"/>
              <w:left w:val="single" w:sz="8" w:space="0" w:color="auto"/>
              <w:bottom w:val="single" w:sz="4" w:space="0" w:color="auto"/>
              <w:right w:val="single" w:sz="4" w:space="0" w:color="auto"/>
            </w:tcBorders>
            <w:vAlign w:val="center"/>
            <w:hideMark/>
          </w:tcPr>
          <w:p w14:paraId="3DF92FEF" w14:textId="77777777" w:rsidR="00066142" w:rsidRDefault="00066142">
            <w:pPr>
              <w:jc w:val="center"/>
              <w:rPr>
                <w:rFonts w:ascii="宋体" w:hAnsi="宋体"/>
                <w:color w:val="000000"/>
                <w:szCs w:val="21"/>
              </w:rPr>
            </w:pPr>
            <w:r>
              <w:rPr>
                <w:rFonts w:ascii="宋体" w:hAnsi="宋体" w:hint="eastAsia"/>
                <w:color w:val="000000"/>
                <w:szCs w:val="21"/>
              </w:rPr>
              <w:t>变更用途的募集资金总额</w:t>
            </w:r>
          </w:p>
        </w:tc>
        <w:tc>
          <w:tcPr>
            <w:tcW w:w="2564" w:type="dxa"/>
            <w:gridSpan w:val="4"/>
            <w:tcBorders>
              <w:top w:val="single" w:sz="4" w:space="0" w:color="auto"/>
              <w:left w:val="nil"/>
              <w:bottom w:val="single" w:sz="4" w:space="0" w:color="auto"/>
              <w:right w:val="single" w:sz="4" w:space="0" w:color="auto"/>
            </w:tcBorders>
            <w:vAlign w:val="center"/>
            <w:hideMark/>
          </w:tcPr>
          <w:p w14:paraId="1BB0C708" w14:textId="77777777" w:rsidR="00066142" w:rsidRDefault="00066142">
            <w:pPr>
              <w:jc w:val="center"/>
              <w:rPr>
                <w:rFonts w:ascii="宋体" w:hAnsi="宋体"/>
                <w:szCs w:val="21"/>
              </w:rPr>
            </w:pPr>
            <w:r>
              <w:rPr>
                <w:rFonts w:ascii="宋体" w:hAnsi="宋体" w:hint="eastAsia"/>
                <w:szCs w:val="21"/>
              </w:rPr>
              <w:t>45,157.92</w:t>
            </w:r>
          </w:p>
        </w:tc>
        <w:tc>
          <w:tcPr>
            <w:tcW w:w="5727" w:type="dxa"/>
            <w:gridSpan w:val="10"/>
            <w:vMerge w:val="restart"/>
            <w:tcBorders>
              <w:top w:val="single" w:sz="4" w:space="0" w:color="auto"/>
              <w:left w:val="single" w:sz="4" w:space="0" w:color="auto"/>
              <w:bottom w:val="single" w:sz="4" w:space="0" w:color="auto"/>
              <w:right w:val="single" w:sz="4" w:space="0" w:color="auto"/>
            </w:tcBorders>
            <w:vAlign w:val="center"/>
            <w:hideMark/>
          </w:tcPr>
          <w:p w14:paraId="67D04443" w14:textId="77777777" w:rsidR="00066142" w:rsidRDefault="00066142">
            <w:pPr>
              <w:jc w:val="center"/>
              <w:rPr>
                <w:rFonts w:ascii="宋体" w:hAnsi="宋体"/>
                <w:szCs w:val="21"/>
              </w:rPr>
            </w:pPr>
            <w:r>
              <w:rPr>
                <w:rFonts w:ascii="宋体" w:hAnsi="宋体" w:hint="eastAsia"/>
                <w:szCs w:val="21"/>
              </w:rPr>
              <w:t>已累计投入募集资金总额</w:t>
            </w:r>
          </w:p>
        </w:tc>
        <w:tc>
          <w:tcPr>
            <w:tcW w:w="1382" w:type="dxa"/>
            <w:gridSpan w:val="3"/>
            <w:vMerge w:val="restart"/>
            <w:tcBorders>
              <w:top w:val="single" w:sz="4" w:space="0" w:color="auto"/>
              <w:left w:val="single" w:sz="4" w:space="0" w:color="auto"/>
              <w:bottom w:val="single" w:sz="4" w:space="0" w:color="auto"/>
              <w:right w:val="single" w:sz="8" w:space="0" w:color="000000"/>
            </w:tcBorders>
            <w:vAlign w:val="center"/>
            <w:hideMark/>
          </w:tcPr>
          <w:p w14:paraId="3BD7ADAF" w14:textId="77777777" w:rsidR="00066142" w:rsidRDefault="00066142">
            <w:pPr>
              <w:jc w:val="center"/>
              <w:rPr>
                <w:rFonts w:ascii="宋体" w:hAnsi="宋体"/>
                <w:szCs w:val="21"/>
              </w:rPr>
            </w:pPr>
            <w:r>
              <w:rPr>
                <w:rFonts w:ascii="宋体" w:hAnsi="宋体" w:hint="eastAsia"/>
                <w:szCs w:val="21"/>
              </w:rPr>
              <w:t xml:space="preserve">104,898.20 </w:t>
            </w:r>
          </w:p>
        </w:tc>
      </w:tr>
      <w:tr w:rsidR="00066142" w14:paraId="63AFB111" w14:textId="77777777" w:rsidTr="00066142">
        <w:trPr>
          <w:gridAfter w:val="1"/>
          <w:wAfter w:w="569" w:type="dxa"/>
          <w:trHeight w:val="450"/>
        </w:trPr>
        <w:tc>
          <w:tcPr>
            <w:tcW w:w="5459" w:type="dxa"/>
            <w:gridSpan w:val="6"/>
            <w:tcBorders>
              <w:top w:val="single" w:sz="4" w:space="0" w:color="auto"/>
              <w:left w:val="single" w:sz="8" w:space="0" w:color="auto"/>
              <w:bottom w:val="single" w:sz="4" w:space="0" w:color="auto"/>
              <w:right w:val="single" w:sz="4" w:space="0" w:color="auto"/>
            </w:tcBorders>
            <w:vAlign w:val="center"/>
            <w:hideMark/>
          </w:tcPr>
          <w:p w14:paraId="0EB7B59D" w14:textId="77777777" w:rsidR="00066142" w:rsidRDefault="00066142">
            <w:pPr>
              <w:jc w:val="center"/>
              <w:rPr>
                <w:rFonts w:ascii="宋体" w:hAnsi="宋体"/>
                <w:color w:val="000000"/>
                <w:szCs w:val="21"/>
              </w:rPr>
            </w:pPr>
            <w:r>
              <w:rPr>
                <w:rFonts w:ascii="宋体" w:hAnsi="宋体" w:hint="eastAsia"/>
                <w:color w:val="000000"/>
                <w:szCs w:val="21"/>
              </w:rPr>
              <w:t>变更用途的募集资金总额比例</w:t>
            </w:r>
          </w:p>
        </w:tc>
        <w:tc>
          <w:tcPr>
            <w:tcW w:w="2564" w:type="dxa"/>
            <w:gridSpan w:val="4"/>
            <w:tcBorders>
              <w:top w:val="single" w:sz="4" w:space="0" w:color="auto"/>
              <w:left w:val="nil"/>
              <w:bottom w:val="single" w:sz="4" w:space="0" w:color="auto"/>
              <w:right w:val="single" w:sz="4" w:space="0" w:color="auto"/>
            </w:tcBorders>
            <w:vAlign w:val="center"/>
            <w:hideMark/>
          </w:tcPr>
          <w:p w14:paraId="38BF0EB1" w14:textId="77777777" w:rsidR="00066142" w:rsidRDefault="00066142">
            <w:pPr>
              <w:jc w:val="center"/>
              <w:rPr>
                <w:rFonts w:ascii="宋体" w:hAnsi="宋体"/>
                <w:szCs w:val="21"/>
              </w:rPr>
            </w:pPr>
            <w:r>
              <w:rPr>
                <w:rFonts w:ascii="宋体" w:hAnsi="宋体" w:hint="eastAsia"/>
                <w:szCs w:val="21"/>
              </w:rPr>
              <w:t>46.68%</w:t>
            </w:r>
          </w:p>
        </w:tc>
        <w:tc>
          <w:tcPr>
            <w:tcW w:w="21492" w:type="dxa"/>
            <w:gridSpan w:val="10"/>
            <w:vMerge/>
            <w:tcBorders>
              <w:top w:val="single" w:sz="4" w:space="0" w:color="auto"/>
              <w:left w:val="single" w:sz="4" w:space="0" w:color="auto"/>
              <w:bottom w:val="single" w:sz="4" w:space="0" w:color="auto"/>
              <w:right w:val="single" w:sz="4" w:space="0" w:color="auto"/>
            </w:tcBorders>
            <w:vAlign w:val="center"/>
            <w:hideMark/>
          </w:tcPr>
          <w:p w14:paraId="14A38128" w14:textId="77777777" w:rsidR="00066142" w:rsidRDefault="00066142">
            <w:pPr>
              <w:widowControl/>
              <w:jc w:val="left"/>
              <w:rPr>
                <w:rFonts w:ascii="宋体" w:hAnsi="宋体"/>
                <w:szCs w:val="21"/>
              </w:rPr>
            </w:pPr>
          </w:p>
        </w:tc>
        <w:tc>
          <w:tcPr>
            <w:tcW w:w="3709" w:type="dxa"/>
            <w:gridSpan w:val="3"/>
            <w:vMerge/>
            <w:tcBorders>
              <w:top w:val="single" w:sz="4" w:space="0" w:color="auto"/>
              <w:left w:val="single" w:sz="4" w:space="0" w:color="auto"/>
              <w:bottom w:val="single" w:sz="4" w:space="0" w:color="auto"/>
              <w:right w:val="single" w:sz="8" w:space="0" w:color="000000"/>
            </w:tcBorders>
            <w:vAlign w:val="center"/>
            <w:hideMark/>
          </w:tcPr>
          <w:p w14:paraId="5F9EA1BD" w14:textId="77777777" w:rsidR="00066142" w:rsidRDefault="00066142">
            <w:pPr>
              <w:widowControl/>
              <w:jc w:val="left"/>
              <w:rPr>
                <w:rFonts w:ascii="宋体" w:hAnsi="宋体"/>
                <w:szCs w:val="21"/>
              </w:rPr>
            </w:pPr>
          </w:p>
        </w:tc>
      </w:tr>
      <w:tr w:rsidR="00066142" w14:paraId="069F1864" w14:textId="77777777" w:rsidTr="00066142">
        <w:trPr>
          <w:gridAfter w:val="1"/>
          <w:wAfter w:w="569" w:type="dxa"/>
          <w:trHeight w:val="1050"/>
        </w:trPr>
        <w:tc>
          <w:tcPr>
            <w:tcW w:w="1934" w:type="dxa"/>
            <w:tcBorders>
              <w:top w:val="nil"/>
              <w:left w:val="single" w:sz="8" w:space="0" w:color="auto"/>
              <w:bottom w:val="single" w:sz="4" w:space="0" w:color="auto"/>
              <w:right w:val="single" w:sz="4" w:space="0" w:color="auto"/>
            </w:tcBorders>
            <w:vAlign w:val="center"/>
            <w:hideMark/>
          </w:tcPr>
          <w:p w14:paraId="6628B81C" w14:textId="77777777" w:rsidR="00066142" w:rsidRDefault="00066142">
            <w:pPr>
              <w:jc w:val="center"/>
              <w:rPr>
                <w:rFonts w:ascii="宋体" w:hAnsi="宋体"/>
                <w:color w:val="000000"/>
                <w:sz w:val="24"/>
              </w:rPr>
            </w:pPr>
            <w:r>
              <w:rPr>
                <w:rFonts w:ascii="宋体" w:hAnsi="宋体" w:hint="eastAsia"/>
                <w:color w:val="000000"/>
                <w:sz w:val="24"/>
              </w:rPr>
              <w:t>承诺投资项目</w:t>
            </w:r>
          </w:p>
        </w:tc>
        <w:tc>
          <w:tcPr>
            <w:tcW w:w="973" w:type="dxa"/>
            <w:tcBorders>
              <w:top w:val="nil"/>
              <w:left w:val="nil"/>
              <w:bottom w:val="single" w:sz="4" w:space="0" w:color="auto"/>
              <w:right w:val="single" w:sz="4" w:space="0" w:color="auto"/>
            </w:tcBorders>
            <w:vAlign w:val="center"/>
            <w:hideMark/>
          </w:tcPr>
          <w:p w14:paraId="432BE955" w14:textId="77777777" w:rsidR="00066142" w:rsidRDefault="00066142">
            <w:pPr>
              <w:jc w:val="center"/>
              <w:rPr>
                <w:rFonts w:ascii="宋体" w:hAnsi="宋体"/>
                <w:color w:val="000000"/>
                <w:szCs w:val="21"/>
              </w:rPr>
            </w:pPr>
            <w:r>
              <w:rPr>
                <w:rFonts w:ascii="宋体" w:hAnsi="宋体" w:hint="eastAsia"/>
                <w:color w:val="000000"/>
                <w:szCs w:val="21"/>
              </w:rPr>
              <w:t>已变更项目(含部分变更)</w:t>
            </w:r>
          </w:p>
        </w:tc>
        <w:tc>
          <w:tcPr>
            <w:tcW w:w="1276" w:type="dxa"/>
            <w:gridSpan w:val="2"/>
            <w:tcBorders>
              <w:top w:val="nil"/>
              <w:left w:val="nil"/>
              <w:bottom w:val="single" w:sz="4" w:space="0" w:color="auto"/>
              <w:right w:val="single" w:sz="4" w:space="0" w:color="auto"/>
            </w:tcBorders>
            <w:vAlign w:val="center"/>
            <w:hideMark/>
          </w:tcPr>
          <w:p w14:paraId="06A32F95" w14:textId="77777777" w:rsidR="00066142" w:rsidRDefault="00066142">
            <w:pPr>
              <w:jc w:val="center"/>
              <w:rPr>
                <w:rFonts w:ascii="宋体" w:hAnsi="宋体"/>
                <w:color w:val="000000"/>
                <w:szCs w:val="21"/>
              </w:rPr>
            </w:pPr>
            <w:r>
              <w:rPr>
                <w:rFonts w:ascii="宋体" w:hAnsi="宋体" w:hint="eastAsia"/>
                <w:color w:val="000000"/>
                <w:szCs w:val="21"/>
              </w:rPr>
              <w:t>募集资金承诺投资总额</w:t>
            </w:r>
          </w:p>
        </w:tc>
        <w:tc>
          <w:tcPr>
            <w:tcW w:w="1276" w:type="dxa"/>
            <w:gridSpan w:val="2"/>
            <w:tcBorders>
              <w:top w:val="nil"/>
              <w:left w:val="nil"/>
              <w:bottom w:val="single" w:sz="4" w:space="0" w:color="auto"/>
              <w:right w:val="single" w:sz="4" w:space="0" w:color="auto"/>
            </w:tcBorders>
            <w:vAlign w:val="center"/>
            <w:hideMark/>
          </w:tcPr>
          <w:p w14:paraId="3D652878" w14:textId="77777777" w:rsidR="00066142" w:rsidRDefault="00066142">
            <w:pPr>
              <w:jc w:val="center"/>
              <w:rPr>
                <w:rFonts w:ascii="宋体" w:hAnsi="宋体"/>
                <w:color w:val="000000"/>
                <w:szCs w:val="21"/>
              </w:rPr>
            </w:pPr>
            <w:r>
              <w:rPr>
                <w:rFonts w:ascii="宋体" w:hAnsi="宋体" w:hint="eastAsia"/>
                <w:color w:val="000000"/>
                <w:szCs w:val="21"/>
              </w:rPr>
              <w:t>调整后投资总额</w:t>
            </w:r>
          </w:p>
        </w:tc>
        <w:tc>
          <w:tcPr>
            <w:tcW w:w="1275" w:type="dxa"/>
            <w:gridSpan w:val="3"/>
            <w:tcBorders>
              <w:top w:val="nil"/>
              <w:left w:val="nil"/>
              <w:bottom w:val="single" w:sz="4" w:space="0" w:color="auto"/>
              <w:right w:val="single" w:sz="4" w:space="0" w:color="auto"/>
            </w:tcBorders>
            <w:vAlign w:val="center"/>
            <w:hideMark/>
          </w:tcPr>
          <w:p w14:paraId="6CCE460E" w14:textId="77777777" w:rsidR="00066142" w:rsidRDefault="00066142">
            <w:pPr>
              <w:jc w:val="center"/>
              <w:rPr>
                <w:rFonts w:ascii="宋体" w:hAnsi="宋体"/>
                <w:color w:val="000000"/>
                <w:szCs w:val="21"/>
              </w:rPr>
            </w:pPr>
            <w:r>
              <w:rPr>
                <w:rFonts w:ascii="宋体" w:hAnsi="宋体" w:hint="eastAsia"/>
                <w:color w:val="000000"/>
                <w:szCs w:val="21"/>
              </w:rPr>
              <w:t>截至期末承诺投入金额(1)</w:t>
            </w:r>
          </w:p>
        </w:tc>
        <w:tc>
          <w:tcPr>
            <w:tcW w:w="1289" w:type="dxa"/>
            <w:tcBorders>
              <w:top w:val="nil"/>
              <w:left w:val="nil"/>
              <w:bottom w:val="single" w:sz="4" w:space="0" w:color="auto"/>
              <w:right w:val="single" w:sz="4" w:space="0" w:color="auto"/>
            </w:tcBorders>
            <w:vAlign w:val="center"/>
            <w:hideMark/>
          </w:tcPr>
          <w:p w14:paraId="40626559" w14:textId="77777777" w:rsidR="00066142" w:rsidRDefault="00066142">
            <w:pPr>
              <w:jc w:val="center"/>
              <w:rPr>
                <w:rFonts w:ascii="宋体" w:hAnsi="宋体"/>
                <w:szCs w:val="21"/>
              </w:rPr>
            </w:pPr>
            <w:r>
              <w:rPr>
                <w:rFonts w:ascii="宋体" w:hAnsi="宋体" w:hint="eastAsia"/>
                <w:szCs w:val="21"/>
              </w:rPr>
              <w:t>本年度投入金额</w:t>
            </w:r>
          </w:p>
        </w:tc>
        <w:tc>
          <w:tcPr>
            <w:tcW w:w="1176" w:type="dxa"/>
            <w:tcBorders>
              <w:top w:val="nil"/>
              <w:left w:val="nil"/>
              <w:bottom w:val="single" w:sz="4" w:space="0" w:color="auto"/>
              <w:right w:val="single" w:sz="4" w:space="0" w:color="auto"/>
            </w:tcBorders>
            <w:vAlign w:val="center"/>
            <w:hideMark/>
          </w:tcPr>
          <w:p w14:paraId="19D6CE4B" w14:textId="77777777" w:rsidR="00066142" w:rsidRDefault="00066142">
            <w:pPr>
              <w:jc w:val="center"/>
              <w:rPr>
                <w:rFonts w:ascii="宋体" w:hAnsi="宋体"/>
                <w:szCs w:val="21"/>
              </w:rPr>
            </w:pPr>
            <w:r>
              <w:rPr>
                <w:rFonts w:ascii="宋体" w:hAnsi="宋体" w:hint="eastAsia"/>
                <w:szCs w:val="21"/>
              </w:rPr>
              <w:t>截至期末累计投入金额(2)</w:t>
            </w:r>
          </w:p>
        </w:tc>
        <w:tc>
          <w:tcPr>
            <w:tcW w:w="1320" w:type="dxa"/>
            <w:gridSpan w:val="3"/>
            <w:tcBorders>
              <w:top w:val="nil"/>
              <w:left w:val="nil"/>
              <w:bottom w:val="single" w:sz="4" w:space="0" w:color="auto"/>
              <w:right w:val="single" w:sz="4" w:space="0" w:color="auto"/>
            </w:tcBorders>
            <w:vAlign w:val="center"/>
            <w:hideMark/>
          </w:tcPr>
          <w:p w14:paraId="60B4C73F" w14:textId="77777777" w:rsidR="00066142" w:rsidRDefault="00066142">
            <w:pPr>
              <w:jc w:val="center"/>
              <w:rPr>
                <w:rFonts w:ascii="宋体" w:hAnsi="宋体"/>
                <w:szCs w:val="21"/>
              </w:rPr>
            </w:pPr>
            <w:r>
              <w:rPr>
                <w:rFonts w:ascii="宋体" w:hAnsi="宋体" w:hint="eastAsia"/>
                <w:szCs w:val="21"/>
              </w:rPr>
              <w:t>截至期末累计投入金额与承诺投入金额的差额(3)＝(2)-(1)</w:t>
            </w:r>
          </w:p>
        </w:tc>
        <w:tc>
          <w:tcPr>
            <w:tcW w:w="913" w:type="dxa"/>
            <w:tcBorders>
              <w:top w:val="nil"/>
              <w:left w:val="nil"/>
              <w:bottom w:val="single" w:sz="4" w:space="0" w:color="auto"/>
              <w:right w:val="single" w:sz="4" w:space="0" w:color="auto"/>
            </w:tcBorders>
            <w:vAlign w:val="center"/>
            <w:hideMark/>
          </w:tcPr>
          <w:p w14:paraId="124C97FA" w14:textId="77777777" w:rsidR="00066142" w:rsidRDefault="00066142">
            <w:pPr>
              <w:jc w:val="center"/>
              <w:rPr>
                <w:rFonts w:ascii="宋体" w:hAnsi="宋体"/>
                <w:szCs w:val="21"/>
              </w:rPr>
            </w:pPr>
            <w:r>
              <w:rPr>
                <w:rFonts w:ascii="宋体" w:hAnsi="宋体" w:hint="eastAsia"/>
                <w:szCs w:val="21"/>
              </w:rPr>
              <w:t>截至期末投入进度（%）(4)＝(2)/(1)</w:t>
            </w:r>
          </w:p>
        </w:tc>
        <w:tc>
          <w:tcPr>
            <w:tcW w:w="1134" w:type="dxa"/>
            <w:gridSpan w:val="3"/>
            <w:tcBorders>
              <w:top w:val="nil"/>
              <w:left w:val="nil"/>
              <w:bottom w:val="single" w:sz="4" w:space="0" w:color="auto"/>
              <w:right w:val="single" w:sz="4" w:space="0" w:color="auto"/>
            </w:tcBorders>
            <w:vAlign w:val="center"/>
            <w:hideMark/>
          </w:tcPr>
          <w:p w14:paraId="1F6F0E5D" w14:textId="77777777" w:rsidR="00066142" w:rsidRDefault="00066142">
            <w:pPr>
              <w:jc w:val="center"/>
              <w:rPr>
                <w:rFonts w:ascii="宋体" w:hAnsi="宋体"/>
                <w:szCs w:val="21"/>
              </w:rPr>
            </w:pPr>
            <w:r>
              <w:rPr>
                <w:rFonts w:ascii="宋体" w:hAnsi="宋体" w:hint="eastAsia"/>
                <w:szCs w:val="21"/>
              </w:rPr>
              <w:t>项目达到预定可使用状态日期</w:t>
            </w:r>
          </w:p>
        </w:tc>
        <w:tc>
          <w:tcPr>
            <w:tcW w:w="1184" w:type="dxa"/>
            <w:gridSpan w:val="2"/>
            <w:tcBorders>
              <w:top w:val="nil"/>
              <w:left w:val="nil"/>
              <w:bottom w:val="single" w:sz="4" w:space="0" w:color="auto"/>
              <w:right w:val="single" w:sz="4" w:space="0" w:color="auto"/>
            </w:tcBorders>
            <w:vAlign w:val="center"/>
            <w:hideMark/>
          </w:tcPr>
          <w:p w14:paraId="0286D6A3" w14:textId="77777777" w:rsidR="00066142" w:rsidRDefault="00066142">
            <w:pPr>
              <w:jc w:val="center"/>
              <w:rPr>
                <w:rFonts w:ascii="宋体" w:hAnsi="宋体"/>
                <w:szCs w:val="21"/>
              </w:rPr>
            </w:pPr>
            <w:r>
              <w:rPr>
                <w:rFonts w:ascii="宋体" w:hAnsi="宋体" w:hint="eastAsia"/>
                <w:szCs w:val="21"/>
              </w:rPr>
              <w:t>本年度实现的效益</w:t>
            </w:r>
          </w:p>
        </w:tc>
        <w:tc>
          <w:tcPr>
            <w:tcW w:w="709" w:type="dxa"/>
            <w:gridSpan w:val="2"/>
            <w:tcBorders>
              <w:top w:val="nil"/>
              <w:left w:val="nil"/>
              <w:bottom w:val="single" w:sz="4" w:space="0" w:color="auto"/>
              <w:right w:val="single" w:sz="4" w:space="0" w:color="auto"/>
            </w:tcBorders>
            <w:vAlign w:val="center"/>
            <w:hideMark/>
          </w:tcPr>
          <w:p w14:paraId="09E4DE52" w14:textId="77777777" w:rsidR="00066142" w:rsidRDefault="00066142">
            <w:pPr>
              <w:jc w:val="center"/>
              <w:rPr>
                <w:rFonts w:ascii="宋体" w:hAnsi="宋体"/>
                <w:szCs w:val="21"/>
              </w:rPr>
            </w:pPr>
            <w:r>
              <w:rPr>
                <w:rFonts w:ascii="宋体" w:hAnsi="宋体" w:hint="eastAsia"/>
                <w:szCs w:val="21"/>
              </w:rPr>
              <w:t>是否达到预计效益</w:t>
            </w:r>
          </w:p>
        </w:tc>
        <w:tc>
          <w:tcPr>
            <w:tcW w:w="673" w:type="dxa"/>
            <w:tcBorders>
              <w:top w:val="nil"/>
              <w:left w:val="nil"/>
              <w:bottom w:val="single" w:sz="4" w:space="0" w:color="auto"/>
              <w:right w:val="single" w:sz="8" w:space="0" w:color="auto"/>
            </w:tcBorders>
            <w:vAlign w:val="center"/>
            <w:hideMark/>
          </w:tcPr>
          <w:p w14:paraId="2C319EA0" w14:textId="77777777" w:rsidR="00066142" w:rsidRDefault="00066142">
            <w:pPr>
              <w:jc w:val="center"/>
              <w:rPr>
                <w:rFonts w:ascii="宋体" w:hAnsi="宋体"/>
                <w:szCs w:val="21"/>
              </w:rPr>
            </w:pPr>
            <w:r>
              <w:rPr>
                <w:rFonts w:ascii="宋体" w:hAnsi="宋体" w:hint="eastAsia"/>
                <w:szCs w:val="21"/>
              </w:rPr>
              <w:t>项目可行性是否发生重大变化</w:t>
            </w:r>
          </w:p>
        </w:tc>
      </w:tr>
      <w:tr w:rsidR="00066142" w14:paraId="3BB1E994" w14:textId="77777777" w:rsidTr="00066142">
        <w:trPr>
          <w:gridAfter w:val="1"/>
          <w:wAfter w:w="569" w:type="dxa"/>
          <w:trHeight w:val="450"/>
        </w:trPr>
        <w:tc>
          <w:tcPr>
            <w:tcW w:w="1934" w:type="dxa"/>
            <w:tcBorders>
              <w:top w:val="nil"/>
              <w:left w:val="single" w:sz="8" w:space="0" w:color="auto"/>
              <w:bottom w:val="single" w:sz="4" w:space="0" w:color="auto"/>
              <w:right w:val="single" w:sz="4" w:space="0" w:color="auto"/>
            </w:tcBorders>
            <w:vAlign w:val="center"/>
            <w:hideMark/>
          </w:tcPr>
          <w:p w14:paraId="2077685E" w14:textId="77777777" w:rsidR="00066142" w:rsidRDefault="00066142">
            <w:pPr>
              <w:jc w:val="center"/>
              <w:rPr>
                <w:rFonts w:ascii="宋体" w:hAnsi="宋体"/>
                <w:color w:val="000000"/>
                <w:sz w:val="24"/>
              </w:rPr>
            </w:pPr>
            <w:r>
              <w:rPr>
                <w:rFonts w:ascii="宋体" w:hAnsi="宋体" w:hint="eastAsia"/>
                <w:color w:val="000000"/>
                <w:sz w:val="24"/>
              </w:rPr>
              <w:t>汽车液力变矩器建设项目</w:t>
            </w:r>
          </w:p>
        </w:tc>
        <w:tc>
          <w:tcPr>
            <w:tcW w:w="973" w:type="dxa"/>
            <w:tcBorders>
              <w:top w:val="nil"/>
              <w:left w:val="nil"/>
              <w:bottom w:val="single" w:sz="4" w:space="0" w:color="auto"/>
              <w:right w:val="single" w:sz="4" w:space="0" w:color="auto"/>
            </w:tcBorders>
            <w:vAlign w:val="center"/>
            <w:hideMark/>
          </w:tcPr>
          <w:p w14:paraId="1FEBAA8A" w14:textId="77777777" w:rsidR="00066142" w:rsidRDefault="00066142">
            <w:pPr>
              <w:jc w:val="center"/>
              <w:rPr>
                <w:rFonts w:ascii="宋体" w:hAnsi="宋体"/>
                <w:color w:val="000000"/>
                <w:szCs w:val="21"/>
              </w:rPr>
            </w:pPr>
            <w:r>
              <w:rPr>
                <w:rFonts w:ascii="宋体" w:hAnsi="宋体" w:hint="eastAsia"/>
                <w:color w:val="000000"/>
                <w:szCs w:val="21"/>
              </w:rPr>
              <w:t>汽车液力变矩器建设项目</w:t>
            </w:r>
          </w:p>
        </w:tc>
        <w:tc>
          <w:tcPr>
            <w:tcW w:w="1276" w:type="dxa"/>
            <w:gridSpan w:val="2"/>
            <w:tcBorders>
              <w:top w:val="nil"/>
              <w:left w:val="nil"/>
              <w:bottom w:val="single" w:sz="4" w:space="0" w:color="auto"/>
              <w:right w:val="single" w:sz="4" w:space="0" w:color="auto"/>
            </w:tcBorders>
            <w:vAlign w:val="center"/>
            <w:hideMark/>
          </w:tcPr>
          <w:p w14:paraId="2EFA3DCC" w14:textId="77777777" w:rsidR="00066142" w:rsidRDefault="00066142">
            <w:pPr>
              <w:jc w:val="center"/>
              <w:rPr>
                <w:rFonts w:ascii="宋体" w:hAnsi="宋体"/>
                <w:color w:val="000000"/>
                <w:szCs w:val="21"/>
              </w:rPr>
            </w:pPr>
            <w:r>
              <w:rPr>
                <w:rFonts w:ascii="宋体" w:hAnsi="宋体" w:hint="eastAsia"/>
                <w:color w:val="000000"/>
                <w:szCs w:val="21"/>
              </w:rPr>
              <w:t>100,000.00</w:t>
            </w:r>
          </w:p>
        </w:tc>
        <w:tc>
          <w:tcPr>
            <w:tcW w:w="1276" w:type="dxa"/>
            <w:gridSpan w:val="2"/>
            <w:tcBorders>
              <w:top w:val="nil"/>
              <w:left w:val="nil"/>
              <w:bottom w:val="single" w:sz="4" w:space="0" w:color="auto"/>
              <w:right w:val="single" w:sz="4" w:space="0" w:color="auto"/>
            </w:tcBorders>
            <w:vAlign w:val="center"/>
          </w:tcPr>
          <w:p w14:paraId="51218C25" w14:textId="77777777" w:rsidR="00066142" w:rsidRDefault="00066142">
            <w:pPr>
              <w:jc w:val="center"/>
              <w:rPr>
                <w:rFonts w:ascii="宋体" w:hAnsi="宋体"/>
                <w:szCs w:val="21"/>
              </w:rPr>
            </w:pPr>
            <w:r>
              <w:rPr>
                <w:rFonts w:ascii="宋体" w:hAnsi="宋体" w:hint="eastAsia"/>
                <w:szCs w:val="21"/>
              </w:rPr>
              <w:t xml:space="preserve">         45,157.92 </w:t>
            </w:r>
          </w:p>
          <w:p w14:paraId="0F0A3F26" w14:textId="77777777" w:rsidR="00066142" w:rsidRDefault="00066142">
            <w:pPr>
              <w:jc w:val="center"/>
              <w:rPr>
                <w:rFonts w:ascii="宋体" w:hAnsi="宋体"/>
                <w:szCs w:val="21"/>
              </w:rPr>
            </w:pPr>
          </w:p>
        </w:tc>
        <w:tc>
          <w:tcPr>
            <w:tcW w:w="1275" w:type="dxa"/>
            <w:gridSpan w:val="3"/>
            <w:tcBorders>
              <w:top w:val="nil"/>
              <w:left w:val="nil"/>
              <w:bottom w:val="single" w:sz="4" w:space="0" w:color="auto"/>
              <w:right w:val="single" w:sz="4" w:space="0" w:color="auto"/>
            </w:tcBorders>
            <w:vAlign w:val="center"/>
            <w:hideMark/>
          </w:tcPr>
          <w:p w14:paraId="17254C8E" w14:textId="77777777" w:rsidR="00066142" w:rsidRDefault="00066142">
            <w:pPr>
              <w:jc w:val="center"/>
              <w:rPr>
                <w:rFonts w:ascii="宋体" w:hAnsi="宋体"/>
                <w:szCs w:val="21"/>
              </w:rPr>
            </w:pPr>
            <w:r>
              <w:rPr>
                <w:rFonts w:ascii="宋体" w:hAnsi="宋体" w:hint="eastAsia"/>
                <w:szCs w:val="21"/>
              </w:rPr>
              <w:t>45,157.92</w:t>
            </w:r>
          </w:p>
        </w:tc>
        <w:tc>
          <w:tcPr>
            <w:tcW w:w="1289" w:type="dxa"/>
            <w:tcBorders>
              <w:top w:val="nil"/>
              <w:left w:val="nil"/>
              <w:bottom w:val="single" w:sz="4" w:space="0" w:color="auto"/>
              <w:right w:val="single" w:sz="4" w:space="0" w:color="auto"/>
            </w:tcBorders>
            <w:vAlign w:val="center"/>
            <w:hideMark/>
          </w:tcPr>
          <w:p w14:paraId="0CF69C76" w14:textId="77777777" w:rsidR="00066142" w:rsidRDefault="00066142">
            <w:pPr>
              <w:jc w:val="center"/>
              <w:rPr>
                <w:rFonts w:ascii="宋体" w:hAnsi="宋体"/>
                <w:szCs w:val="21"/>
              </w:rPr>
            </w:pPr>
            <w:r>
              <w:rPr>
                <w:rFonts w:ascii="宋体" w:hAnsi="宋体" w:cs="Arial" w:hint="eastAsia"/>
                <w:szCs w:val="21"/>
              </w:rPr>
              <w:t>5,239.22</w:t>
            </w:r>
          </w:p>
        </w:tc>
        <w:tc>
          <w:tcPr>
            <w:tcW w:w="1176" w:type="dxa"/>
            <w:tcBorders>
              <w:top w:val="nil"/>
              <w:left w:val="nil"/>
              <w:bottom w:val="single" w:sz="4" w:space="0" w:color="auto"/>
              <w:right w:val="single" w:sz="4" w:space="0" w:color="auto"/>
            </w:tcBorders>
            <w:vAlign w:val="center"/>
            <w:hideMark/>
          </w:tcPr>
          <w:p w14:paraId="6BDD092C" w14:textId="77777777" w:rsidR="00066142" w:rsidRDefault="00066142">
            <w:pPr>
              <w:jc w:val="center"/>
              <w:rPr>
                <w:rFonts w:ascii="宋体" w:hAnsi="宋体"/>
                <w:szCs w:val="21"/>
              </w:rPr>
            </w:pPr>
            <w:r>
              <w:rPr>
                <w:rFonts w:ascii="宋体" w:hAnsi="宋体" w:hint="eastAsia"/>
                <w:szCs w:val="21"/>
              </w:rPr>
              <w:t>40,023.64</w:t>
            </w:r>
          </w:p>
        </w:tc>
        <w:tc>
          <w:tcPr>
            <w:tcW w:w="1320" w:type="dxa"/>
            <w:gridSpan w:val="3"/>
            <w:tcBorders>
              <w:top w:val="nil"/>
              <w:left w:val="nil"/>
              <w:bottom w:val="single" w:sz="4" w:space="0" w:color="auto"/>
              <w:right w:val="single" w:sz="4" w:space="0" w:color="auto"/>
            </w:tcBorders>
            <w:vAlign w:val="center"/>
            <w:hideMark/>
          </w:tcPr>
          <w:p w14:paraId="19B5C091" w14:textId="77777777" w:rsidR="00066142" w:rsidRDefault="00066142">
            <w:pPr>
              <w:jc w:val="center"/>
              <w:rPr>
                <w:rFonts w:ascii="宋体" w:hAnsi="宋体"/>
                <w:szCs w:val="21"/>
              </w:rPr>
            </w:pPr>
            <w:r>
              <w:rPr>
                <w:rFonts w:ascii="宋体" w:hAnsi="宋体" w:hint="eastAsia"/>
                <w:szCs w:val="21"/>
              </w:rPr>
              <w:t>-5,134.28</w:t>
            </w:r>
          </w:p>
        </w:tc>
        <w:tc>
          <w:tcPr>
            <w:tcW w:w="913" w:type="dxa"/>
            <w:tcBorders>
              <w:top w:val="nil"/>
              <w:left w:val="nil"/>
              <w:bottom w:val="single" w:sz="4" w:space="0" w:color="auto"/>
              <w:right w:val="single" w:sz="4" w:space="0" w:color="auto"/>
            </w:tcBorders>
            <w:vAlign w:val="center"/>
            <w:hideMark/>
          </w:tcPr>
          <w:p w14:paraId="6CA93D96" w14:textId="77777777" w:rsidR="00066142" w:rsidRDefault="00066142">
            <w:pPr>
              <w:jc w:val="center"/>
              <w:rPr>
                <w:rFonts w:ascii="宋体" w:hAnsi="宋体"/>
                <w:szCs w:val="21"/>
              </w:rPr>
            </w:pPr>
            <w:r>
              <w:rPr>
                <w:rFonts w:ascii="宋体" w:hAnsi="宋体" w:hint="eastAsia"/>
                <w:szCs w:val="21"/>
              </w:rPr>
              <w:t>88.63%</w:t>
            </w:r>
          </w:p>
        </w:tc>
        <w:tc>
          <w:tcPr>
            <w:tcW w:w="1134" w:type="dxa"/>
            <w:gridSpan w:val="3"/>
            <w:tcBorders>
              <w:top w:val="nil"/>
              <w:left w:val="nil"/>
              <w:bottom w:val="single" w:sz="4" w:space="0" w:color="auto"/>
              <w:right w:val="single" w:sz="4" w:space="0" w:color="auto"/>
            </w:tcBorders>
            <w:vAlign w:val="center"/>
            <w:hideMark/>
          </w:tcPr>
          <w:p w14:paraId="33AC8533" w14:textId="77777777" w:rsidR="00066142" w:rsidRDefault="00066142">
            <w:pPr>
              <w:jc w:val="center"/>
              <w:rPr>
                <w:rFonts w:ascii="宋体" w:hAnsi="宋体"/>
                <w:szCs w:val="21"/>
              </w:rPr>
            </w:pPr>
            <w:r>
              <w:rPr>
                <w:rFonts w:ascii="宋体" w:hAnsi="宋体" w:hint="eastAsia"/>
                <w:szCs w:val="21"/>
              </w:rPr>
              <w:t>2021年</w:t>
            </w:r>
          </w:p>
        </w:tc>
        <w:tc>
          <w:tcPr>
            <w:tcW w:w="1184" w:type="dxa"/>
            <w:gridSpan w:val="2"/>
            <w:tcBorders>
              <w:top w:val="nil"/>
              <w:left w:val="nil"/>
              <w:bottom w:val="single" w:sz="4" w:space="0" w:color="auto"/>
              <w:right w:val="single" w:sz="4" w:space="0" w:color="auto"/>
            </w:tcBorders>
            <w:vAlign w:val="center"/>
            <w:hideMark/>
          </w:tcPr>
          <w:p w14:paraId="7C7EC9F8" w14:textId="77777777" w:rsidR="00066142" w:rsidRDefault="00066142">
            <w:pPr>
              <w:jc w:val="center"/>
              <w:rPr>
                <w:rFonts w:ascii="宋体" w:hAnsi="宋体"/>
                <w:szCs w:val="21"/>
              </w:rPr>
            </w:pPr>
            <w:r>
              <w:rPr>
                <w:rFonts w:ascii="宋体" w:hAnsi="宋体" w:hint="eastAsia"/>
                <w:szCs w:val="21"/>
              </w:rPr>
              <w:t>-1,265.14</w:t>
            </w:r>
          </w:p>
        </w:tc>
        <w:tc>
          <w:tcPr>
            <w:tcW w:w="709" w:type="dxa"/>
            <w:gridSpan w:val="2"/>
            <w:tcBorders>
              <w:top w:val="nil"/>
              <w:left w:val="nil"/>
              <w:bottom w:val="single" w:sz="4" w:space="0" w:color="auto"/>
              <w:right w:val="single" w:sz="4" w:space="0" w:color="auto"/>
            </w:tcBorders>
            <w:vAlign w:val="center"/>
            <w:hideMark/>
          </w:tcPr>
          <w:p w14:paraId="27172422" w14:textId="77777777" w:rsidR="00066142" w:rsidRDefault="00066142">
            <w:pPr>
              <w:jc w:val="center"/>
              <w:rPr>
                <w:rFonts w:ascii="宋体" w:hAnsi="宋体"/>
                <w:szCs w:val="21"/>
              </w:rPr>
            </w:pPr>
            <w:r>
              <w:rPr>
                <w:rFonts w:ascii="宋体" w:hAnsi="宋体" w:hint="eastAsia"/>
                <w:szCs w:val="21"/>
              </w:rPr>
              <w:t>否</w:t>
            </w:r>
          </w:p>
        </w:tc>
        <w:tc>
          <w:tcPr>
            <w:tcW w:w="673" w:type="dxa"/>
            <w:tcBorders>
              <w:top w:val="nil"/>
              <w:left w:val="nil"/>
              <w:bottom w:val="single" w:sz="4" w:space="0" w:color="auto"/>
              <w:right w:val="single" w:sz="8" w:space="0" w:color="auto"/>
            </w:tcBorders>
            <w:vAlign w:val="center"/>
            <w:hideMark/>
          </w:tcPr>
          <w:p w14:paraId="3DD1FBB3" w14:textId="77777777" w:rsidR="00066142" w:rsidRDefault="00066142">
            <w:pPr>
              <w:jc w:val="center"/>
              <w:rPr>
                <w:rFonts w:ascii="宋体" w:hAnsi="宋体"/>
                <w:szCs w:val="21"/>
              </w:rPr>
            </w:pPr>
            <w:r>
              <w:rPr>
                <w:rFonts w:ascii="宋体" w:hAnsi="宋体" w:hint="eastAsia"/>
                <w:szCs w:val="21"/>
              </w:rPr>
              <w:t>否</w:t>
            </w:r>
          </w:p>
        </w:tc>
      </w:tr>
      <w:tr w:rsidR="00066142" w14:paraId="14461699" w14:textId="77777777" w:rsidTr="00066142">
        <w:trPr>
          <w:gridAfter w:val="1"/>
          <w:wAfter w:w="569" w:type="dxa"/>
          <w:trHeight w:val="1309"/>
        </w:trPr>
        <w:tc>
          <w:tcPr>
            <w:tcW w:w="1934" w:type="dxa"/>
            <w:tcBorders>
              <w:top w:val="nil"/>
              <w:left w:val="single" w:sz="8" w:space="0" w:color="auto"/>
              <w:bottom w:val="single" w:sz="4" w:space="0" w:color="auto"/>
              <w:right w:val="single" w:sz="4" w:space="0" w:color="auto"/>
            </w:tcBorders>
            <w:vAlign w:val="center"/>
          </w:tcPr>
          <w:p w14:paraId="335AADA8" w14:textId="77777777" w:rsidR="00066142" w:rsidRDefault="00066142">
            <w:pPr>
              <w:jc w:val="center"/>
              <w:rPr>
                <w:rFonts w:ascii="宋体" w:hAnsi="宋体"/>
                <w:color w:val="000000"/>
                <w:sz w:val="24"/>
              </w:rPr>
            </w:pPr>
          </w:p>
        </w:tc>
        <w:tc>
          <w:tcPr>
            <w:tcW w:w="973" w:type="dxa"/>
            <w:tcBorders>
              <w:top w:val="nil"/>
              <w:left w:val="nil"/>
              <w:bottom w:val="single" w:sz="4" w:space="0" w:color="auto"/>
              <w:right w:val="single" w:sz="4" w:space="0" w:color="auto"/>
            </w:tcBorders>
            <w:vAlign w:val="center"/>
            <w:hideMark/>
          </w:tcPr>
          <w:p w14:paraId="38C4C62C" w14:textId="77777777" w:rsidR="00066142" w:rsidRDefault="00066142">
            <w:pPr>
              <w:jc w:val="center"/>
              <w:rPr>
                <w:rFonts w:ascii="宋体" w:hAnsi="宋体"/>
                <w:color w:val="000000"/>
                <w:szCs w:val="21"/>
              </w:rPr>
            </w:pPr>
            <w:r>
              <w:rPr>
                <w:rFonts w:ascii="宋体" w:hAnsi="宋体" w:hint="eastAsia"/>
                <w:color w:val="000000"/>
                <w:szCs w:val="21"/>
              </w:rPr>
              <w:t>永久补充流动资金(含利息）</w:t>
            </w:r>
          </w:p>
        </w:tc>
        <w:tc>
          <w:tcPr>
            <w:tcW w:w="1276" w:type="dxa"/>
            <w:gridSpan w:val="2"/>
            <w:tcBorders>
              <w:top w:val="nil"/>
              <w:left w:val="nil"/>
              <w:bottom w:val="single" w:sz="4" w:space="0" w:color="auto"/>
              <w:right w:val="single" w:sz="4" w:space="0" w:color="auto"/>
            </w:tcBorders>
            <w:vAlign w:val="center"/>
          </w:tcPr>
          <w:p w14:paraId="6FF34C0A" w14:textId="77777777" w:rsidR="00066142" w:rsidRDefault="00066142">
            <w:pPr>
              <w:jc w:val="center"/>
              <w:rPr>
                <w:rFonts w:ascii="宋体" w:hAnsi="宋体"/>
                <w:color w:val="000000"/>
                <w:szCs w:val="21"/>
              </w:rPr>
            </w:pPr>
          </w:p>
        </w:tc>
        <w:tc>
          <w:tcPr>
            <w:tcW w:w="1276" w:type="dxa"/>
            <w:gridSpan w:val="2"/>
            <w:tcBorders>
              <w:top w:val="nil"/>
              <w:left w:val="nil"/>
              <w:bottom w:val="single" w:sz="4" w:space="0" w:color="auto"/>
              <w:right w:val="single" w:sz="4" w:space="0" w:color="auto"/>
            </w:tcBorders>
            <w:vAlign w:val="center"/>
          </w:tcPr>
          <w:p w14:paraId="63B91577" w14:textId="77777777" w:rsidR="00066142" w:rsidRDefault="00066142">
            <w:pPr>
              <w:jc w:val="center"/>
              <w:rPr>
                <w:rFonts w:ascii="宋体" w:hAnsi="宋体"/>
                <w:szCs w:val="21"/>
              </w:rPr>
            </w:pPr>
            <w:r>
              <w:rPr>
                <w:rFonts w:ascii="宋体" w:hAnsi="宋体" w:hint="eastAsia"/>
                <w:szCs w:val="21"/>
              </w:rPr>
              <w:t xml:space="preserve">         64,874.56</w:t>
            </w:r>
          </w:p>
          <w:p w14:paraId="4E795D8E" w14:textId="77777777" w:rsidR="00066142" w:rsidRDefault="00066142">
            <w:pPr>
              <w:jc w:val="center"/>
              <w:rPr>
                <w:rFonts w:ascii="宋体" w:hAnsi="宋体"/>
                <w:szCs w:val="21"/>
              </w:rPr>
            </w:pPr>
          </w:p>
        </w:tc>
        <w:tc>
          <w:tcPr>
            <w:tcW w:w="1275" w:type="dxa"/>
            <w:gridSpan w:val="3"/>
            <w:tcBorders>
              <w:top w:val="nil"/>
              <w:left w:val="nil"/>
              <w:bottom w:val="single" w:sz="4" w:space="0" w:color="auto"/>
              <w:right w:val="single" w:sz="4" w:space="0" w:color="auto"/>
            </w:tcBorders>
            <w:vAlign w:val="center"/>
            <w:hideMark/>
          </w:tcPr>
          <w:p w14:paraId="2106FCEF" w14:textId="77777777" w:rsidR="00066142" w:rsidRDefault="00066142">
            <w:pPr>
              <w:jc w:val="center"/>
              <w:rPr>
                <w:rFonts w:ascii="宋体" w:hAnsi="宋体"/>
                <w:szCs w:val="21"/>
              </w:rPr>
            </w:pPr>
            <w:r>
              <w:rPr>
                <w:rFonts w:ascii="宋体" w:hAnsi="宋体" w:hint="eastAsia"/>
                <w:szCs w:val="21"/>
              </w:rPr>
              <w:t>64,874.56</w:t>
            </w:r>
          </w:p>
        </w:tc>
        <w:tc>
          <w:tcPr>
            <w:tcW w:w="1289" w:type="dxa"/>
            <w:tcBorders>
              <w:top w:val="nil"/>
              <w:left w:val="nil"/>
              <w:bottom w:val="single" w:sz="4" w:space="0" w:color="auto"/>
              <w:right w:val="single" w:sz="4" w:space="0" w:color="auto"/>
            </w:tcBorders>
            <w:vAlign w:val="center"/>
            <w:hideMark/>
          </w:tcPr>
          <w:p w14:paraId="24222954" w14:textId="77777777" w:rsidR="00066142" w:rsidRDefault="00066142">
            <w:pPr>
              <w:jc w:val="center"/>
              <w:rPr>
                <w:rFonts w:ascii="宋体" w:hAnsi="宋体"/>
                <w:szCs w:val="21"/>
              </w:rPr>
            </w:pPr>
            <w:r>
              <w:rPr>
                <w:rFonts w:ascii="宋体" w:hAnsi="宋体" w:hint="eastAsia"/>
                <w:szCs w:val="21"/>
              </w:rPr>
              <w:t>14,456.56</w:t>
            </w:r>
          </w:p>
        </w:tc>
        <w:tc>
          <w:tcPr>
            <w:tcW w:w="1176" w:type="dxa"/>
            <w:tcBorders>
              <w:top w:val="nil"/>
              <w:left w:val="nil"/>
              <w:bottom w:val="single" w:sz="4" w:space="0" w:color="auto"/>
              <w:right w:val="single" w:sz="4" w:space="0" w:color="auto"/>
            </w:tcBorders>
            <w:vAlign w:val="center"/>
            <w:hideMark/>
          </w:tcPr>
          <w:p w14:paraId="4D984073" w14:textId="77777777" w:rsidR="00066142" w:rsidRDefault="00066142">
            <w:pPr>
              <w:jc w:val="center"/>
              <w:rPr>
                <w:rFonts w:ascii="宋体" w:hAnsi="宋体"/>
                <w:szCs w:val="21"/>
              </w:rPr>
            </w:pPr>
            <w:r>
              <w:rPr>
                <w:rFonts w:ascii="宋体" w:hAnsi="宋体" w:hint="eastAsia"/>
                <w:szCs w:val="21"/>
              </w:rPr>
              <w:t>64,874.56</w:t>
            </w:r>
          </w:p>
        </w:tc>
        <w:tc>
          <w:tcPr>
            <w:tcW w:w="1320" w:type="dxa"/>
            <w:gridSpan w:val="3"/>
            <w:tcBorders>
              <w:top w:val="nil"/>
              <w:left w:val="nil"/>
              <w:bottom w:val="single" w:sz="4" w:space="0" w:color="auto"/>
              <w:right w:val="single" w:sz="4" w:space="0" w:color="auto"/>
            </w:tcBorders>
            <w:vAlign w:val="center"/>
            <w:hideMark/>
          </w:tcPr>
          <w:p w14:paraId="64ED59CF" w14:textId="77777777" w:rsidR="00066142" w:rsidRDefault="00066142">
            <w:pPr>
              <w:jc w:val="center"/>
              <w:rPr>
                <w:rFonts w:ascii="宋体" w:hAnsi="宋体"/>
                <w:szCs w:val="21"/>
              </w:rPr>
            </w:pPr>
            <w:r>
              <w:rPr>
                <w:rFonts w:ascii="宋体" w:hAnsi="宋体" w:hint="eastAsia"/>
                <w:szCs w:val="21"/>
              </w:rPr>
              <w:t>0.00</w:t>
            </w:r>
          </w:p>
        </w:tc>
        <w:tc>
          <w:tcPr>
            <w:tcW w:w="913" w:type="dxa"/>
            <w:tcBorders>
              <w:top w:val="nil"/>
              <w:left w:val="nil"/>
              <w:bottom w:val="single" w:sz="4" w:space="0" w:color="auto"/>
              <w:right w:val="single" w:sz="4" w:space="0" w:color="auto"/>
            </w:tcBorders>
            <w:vAlign w:val="center"/>
            <w:hideMark/>
          </w:tcPr>
          <w:p w14:paraId="009B58D5" w14:textId="77777777" w:rsidR="00066142" w:rsidRDefault="00066142">
            <w:pPr>
              <w:jc w:val="center"/>
              <w:rPr>
                <w:rFonts w:ascii="宋体" w:hAnsi="宋体"/>
                <w:szCs w:val="21"/>
              </w:rPr>
            </w:pPr>
            <w:r>
              <w:rPr>
                <w:rFonts w:ascii="宋体" w:hAnsi="宋体" w:hint="eastAsia"/>
                <w:szCs w:val="21"/>
              </w:rPr>
              <w:t>100.00%</w:t>
            </w:r>
          </w:p>
        </w:tc>
        <w:tc>
          <w:tcPr>
            <w:tcW w:w="1134" w:type="dxa"/>
            <w:gridSpan w:val="3"/>
            <w:tcBorders>
              <w:top w:val="nil"/>
              <w:left w:val="nil"/>
              <w:bottom w:val="single" w:sz="4" w:space="0" w:color="auto"/>
              <w:right w:val="single" w:sz="4" w:space="0" w:color="auto"/>
            </w:tcBorders>
            <w:vAlign w:val="center"/>
          </w:tcPr>
          <w:p w14:paraId="62AB95CE" w14:textId="77777777" w:rsidR="00066142" w:rsidRDefault="00066142">
            <w:pPr>
              <w:jc w:val="center"/>
              <w:rPr>
                <w:rFonts w:ascii="宋体" w:hAnsi="宋体"/>
                <w:szCs w:val="21"/>
              </w:rPr>
            </w:pPr>
          </w:p>
        </w:tc>
        <w:tc>
          <w:tcPr>
            <w:tcW w:w="1184" w:type="dxa"/>
            <w:gridSpan w:val="2"/>
            <w:tcBorders>
              <w:top w:val="nil"/>
              <w:left w:val="nil"/>
              <w:bottom w:val="single" w:sz="4" w:space="0" w:color="auto"/>
              <w:right w:val="single" w:sz="4" w:space="0" w:color="auto"/>
            </w:tcBorders>
            <w:vAlign w:val="center"/>
          </w:tcPr>
          <w:p w14:paraId="6B9EE30A" w14:textId="77777777" w:rsidR="00066142" w:rsidRDefault="00066142">
            <w:pPr>
              <w:jc w:val="center"/>
              <w:rPr>
                <w:rFonts w:ascii="宋体" w:hAnsi="宋体"/>
                <w:szCs w:val="21"/>
              </w:rPr>
            </w:pPr>
          </w:p>
        </w:tc>
        <w:tc>
          <w:tcPr>
            <w:tcW w:w="709" w:type="dxa"/>
            <w:gridSpan w:val="2"/>
            <w:tcBorders>
              <w:top w:val="nil"/>
              <w:left w:val="nil"/>
              <w:bottom w:val="single" w:sz="4" w:space="0" w:color="auto"/>
              <w:right w:val="single" w:sz="4" w:space="0" w:color="auto"/>
            </w:tcBorders>
            <w:vAlign w:val="center"/>
          </w:tcPr>
          <w:p w14:paraId="4978EED1" w14:textId="77777777" w:rsidR="00066142" w:rsidRDefault="00066142">
            <w:pPr>
              <w:jc w:val="center"/>
              <w:rPr>
                <w:rFonts w:ascii="宋体" w:hAnsi="宋体"/>
                <w:szCs w:val="21"/>
              </w:rPr>
            </w:pPr>
          </w:p>
        </w:tc>
        <w:tc>
          <w:tcPr>
            <w:tcW w:w="673" w:type="dxa"/>
            <w:tcBorders>
              <w:top w:val="nil"/>
              <w:left w:val="nil"/>
              <w:bottom w:val="single" w:sz="4" w:space="0" w:color="auto"/>
              <w:right w:val="single" w:sz="8" w:space="0" w:color="auto"/>
            </w:tcBorders>
            <w:vAlign w:val="center"/>
          </w:tcPr>
          <w:p w14:paraId="3F6EAF41" w14:textId="77777777" w:rsidR="00066142" w:rsidRDefault="00066142">
            <w:pPr>
              <w:jc w:val="center"/>
              <w:rPr>
                <w:rFonts w:ascii="宋体" w:hAnsi="宋体"/>
                <w:szCs w:val="21"/>
              </w:rPr>
            </w:pPr>
          </w:p>
        </w:tc>
      </w:tr>
      <w:tr w:rsidR="00066142" w14:paraId="40384E9A" w14:textId="77777777" w:rsidTr="00066142">
        <w:trPr>
          <w:gridAfter w:val="1"/>
          <w:wAfter w:w="569" w:type="dxa"/>
          <w:trHeight w:val="450"/>
        </w:trPr>
        <w:tc>
          <w:tcPr>
            <w:tcW w:w="1934" w:type="dxa"/>
            <w:tcBorders>
              <w:top w:val="nil"/>
              <w:left w:val="single" w:sz="8" w:space="0" w:color="auto"/>
              <w:bottom w:val="single" w:sz="4" w:space="0" w:color="auto"/>
              <w:right w:val="single" w:sz="4" w:space="0" w:color="auto"/>
            </w:tcBorders>
            <w:vAlign w:val="center"/>
            <w:hideMark/>
          </w:tcPr>
          <w:p w14:paraId="5FDDB815" w14:textId="77777777" w:rsidR="00066142" w:rsidRDefault="00066142">
            <w:pPr>
              <w:jc w:val="center"/>
              <w:rPr>
                <w:rFonts w:ascii="宋体" w:hAnsi="宋体"/>
                <w:color w:val="000000"/>
                <w:sz w:val="24"/>
              </w:rPr>
            </w:pPr>
            <w:r>
              <w:rPr>
                <w:rFonts w:ascii="宋体" w:hAnsi="宋体" w:hint="eastAsia"/>
                <w:color w:val="000000"/>
                <w:sz w:val="24"/>
              </w:rPr>
              <w:t>合计</w:t>
            </w:r>
          </w:p>
        </w:tc>
        <w:tc>
          <w:tcPr>
            <w:tcW w:w="973" w:type="dxa"/>
            <w:tcBorders>
              <w:top w:val="nil"/>
              <w:left w:val="nil"/>
              <w:bottom w:val="single" w:sz="4" w:space="0" w:color="auto"/>
              <w:right w:val="single" w:sz="4" w:space="0" w:color="auto"/>
            </w:tcBorders>
            <w:vAlign w:val="center"/>
            <w:hideMark/>
          </w:tcPr>
          <w:p w14:paraId="57EBE8ED" w14:textId="77777777" w:rsidR="00066142" w:rsidRDefault="00066142">
            <w:pPr>
              <w:jc w:val="center"/>
              <w:rPr>
                <w:rFonts w:ascii="宋体" w:hAnsi="宋体"/>
                <w:color w:val="000000"/>
                <w:szCs w:val="21"/>
              </w:rPr>
            </w:pPr>
            <w:r>
              <w:rPr>
                <w:rFonts w:ascii="宋体" w:hAnsi="宋体" w:hint="eastAsia"/>
                <w:color w:val="000000"/>
                <w:szCs w:val="21"/>
              </w:rPr>
              <w:t>-</w:t>
            </w:r>
          </w:p>
        </w:tc>
        <w:tc>
          <w:tcPr>
            <w:tcW w:w="1276" w:type="dxa"/>
            <w:gridSpan w:val="2"/>
            <w:tcBorders>
              <w:top w:val="nil"/>
              <w:left w:val="nil"/>
              <w:bottom w:val="single" w:sz="4" w:space="0" w:color="auto"/>
              <w:right w:val="single" w:sz="4" w:space="0" w:color="auto"/>
            </w:tcBorders>
            <w:vAlign w:val="center"/>
            <w:hideMark/>
          </w:tcPr>
          <w:p w14:paraId="1053AA23" w14:textId="77777777" w:rsidR="00066142" w:rsidRDefault="00066142">
            <w:pPr>
              <w:jc w:val="center"/>
              <w:rPr>
                <w:rFonts w:ascii="宋体" w:hAnsi="宋体"/>
                <w:color w:val="000000"/>
                <w:szCs w:val="21"/>
              </w:rPr>
            </w:pPr>
            <w:r>
              <w:rPr>
                <w:rFonts w:ascii="宋体" w:hAnsi="宋体" w:hint="eastAsia"/>
                <w:color w:val="000000"/>
                <w:szCs w:val="21"/>
              </w:rPr>
              <w:t>100,000.00</w:t>
            </w:r>
          </w:p>
        </w:tc>
        <w:tc>
          <w:tcPr>
            <w:tcW w:w="1276" w:type="dxa"/>
            <w:gridSpan w:val="2"/>
            <w:tcBorders>
              <w:top w:val="nil"/>
              <w:left w:val="nil"/>
              <w:bottom w:val="single" w:sz="4" w:space="0" w:color="auto"/>
              <w:right w:val="single" w:sz="4" w:space="0" w:color="auto"/>
            </w:tcBorders>
            <w:vAlign w:val="center"/>
            <w:hideMark/>
          </w:tcPr>
          <w:p w14:paraId="74B2B29D" w14:textId="77777777" w:rsidR="00066142" w:rsidRDefault="00066142">
            <w:pPr>
              <w:jc w:val="center"/>
              <w:rPr>
                <w:rFonts w:ascii="宋体" w:hAnsi="宋体"/>
                <w:color w:val="000000"/>
                <w:szCs w:val="21"/>
              </w:rPr>
            </w:pPr>
            <w:r>
              <w:rPr>
                <w:rFonts w:ascii="宋体" w:hAnsi="宋体" w:hint="eastAsia"/>
                <w:color w:val="000000"/>
                <w:szCs w:val="21"/>
              </w:rPr>
              <w:t>110,032.48</w:t>
            </w:r>
          </w:p>
        </w:tc>
        <w:tc>
          <w:tcPr>
            <w:tcW w:w="1275" w:type="dxa"/>
            <w:gridSpan w:val="3"/>
            <w:tcBorders>
              <w:top w:val="nil"/>
              <w:left w:val="nil"/>
              <w:bottom w:val="single" w:sz="4" w:space="0" w:color="auto"/>
              <w:right w:val="single" w:sz="4" w:space="0" w:color="auto"/>
            </w:tcBorders>
            <w:vAlign w:val="center"/>
            <w:hideMark/>
          </w:tcPr>
          <w:p w14:paraId="067B3031" w14:textId="77777777" w:rsidR="00066142" w:rsidRDefault="00066142">
            <w:pPr>
              <w:jc w:val="center"/>
              <w:rPr>
                <w:rFonts w:ascii="宋体" w:hAnsi="宋体"/>
                <w:color w:val="000000"/>
                <w:szCs w:val="21"/>
              </w:rPr>
            </w:pPr>
            <w:r>
              <w:rPr>
                <w:rFonts w:ascii="宋体" w:hAnsi="宋体" w:hint="eastAsia"/>
                <w:color w:val="000000"/>
                <w:szCs w:val="21"/>
              </w:rPr>
              <w:t>110,032.48</w:t>
            </w:r>
          </w:p>
        </w:tc>
        <w:tc>
          <w:tcPr>
            <w:tcW w:w="1289" w:type="dxa"/>
            <w:tcBorders>
              <w:top w:val="nil"/>
              <w:left w:val="nil"/>
              <w:bottom w:val="single" w:sz="4" w:space="0" w:color="auto"/>
              <w:right w:val="single" w:sz="4" w:space="0" w:color="auto"/>
            </w:tcBorders>
            <w:vAlign w:val="center"/>
            <w:hideMark/>
          </w:tcPr>
          <w:p w14:paraId="3EF484B8" w14:textId="77777777" w:rsidR="00066142" w:rsidRDefault="00066142">
            <w:pPr>
              <w:jc w:val="center"/>
              <w:rPr>
                <w:rFonts w:ascii="宋体" w:hAnsi="宋体" w:cs="Arial"/>
                <w:szCs w:val="21"/>
              </w:rPr>
            </w:pPr>
            <w:r>
              <w:rPr>
                <w:rFonts w:ascii="宋体" w:hAnsi="宋体" w:cs="Arial" w:hint="eastAsia"/>
                <w:szCs w:val="21"/>
              </w:rPr>
              <w:t>19,695.78</w:t>
            </w:r>
          </w:p>
        </w:tc>
        <w:tc>
          <w:tcPr>
            <w:tcW w:w="1176" w:type="dxa"/>
            <w:tcBorders>
              <w:top w:val="nil"/>
              <w:left w:val="nil"/>
              <w:bottom w:val="single" w:sz="4" w:space="0" w:color="auto"/>
              <w:right w:val="single" w:sz="4" w:space="0" w:color="auto"/>
            </w:tcBorders>
            <w:vAlign w:val="center"/>
            <w:hideMark/>
          </w:tcPr>
          <w:p w14:paraId="4594542B" w14:textId="77777777" w:rsidR="00066142" w:rsidRDefault="00066142">
            <w:pPr>
              <w:jc w:val="center"/>
              <w:rPr>
                <w:rFonts w:ascii="宋体" w:hAnsi="宋体" w:cs="Arial"/>
                <w:szCs w:val="21"/>
              </w:rPr>
            </w:pPr>
            <w:r>
              <w:rPr>
                <w:rFonts w:ascii="宋体" w:hAnsi="宋体" w:cs="Arial" w:hint="eastAsia"/>
                <w:szCs w:val="21"/>
              </w:rPr>
              <w:t>104,898.20</w:t>
            </w:r>
          </w:p>
        </w:tc>
        <w:tc>
          <w:tcPr>
            <w:tcW w:w="1320" w:type="dxa"/>
            <w:gridSpan w:val="3"/>
            <w:tcBorders>
              <w:top w:val="nil"/>
              <w:left w:val="nil"/>
              <w:bottom w:val="single" w:sz="4" w:space="0" w:color="auto"/>
              <w:right w:val="single" w:sz="4" w:space="0" w:color="auto"/>
            </w:tcBorders>
            <w:vAlign w:val="center"/>
            <w:hideMark/>
          </w:tcPr>
          <w:p w14:paraId="666DE0D7" w14:textId="77777777" w:rsidR="00066142" w:rsidRDefault="00066142">
            <w:pPr>
              <w:jc w:val="center"/>
              <w:rPr>
                <w:rFonts w:ascii="宋体" w:hAnsi="宋体" w:cs="Arial"/>
                <w:szCs w:val="21"/>
              </w:rPr>
            </w:pPr>
            <w:r>
              <w:rPr>
                <w:rFonts w:ascii="宋体" w:hAnsi="宋体" w:hint="eastAsia"/>
                <w:szCs w:val="21"/>
              </w:rPr>
              <w:t>-5,134.28</w:t>
            </w:r>
          </w:p>
        </w:tc>
        <w:tc>
          <w:tcPr>
            <w:tcW w:w="913" w:type="dxa"/>
            <w:tcBorders>
              <w:top w:val="nil"/>
              <w:left w:val="nil"/>
              <w:bottom w:val="single" w:sz="4" w:space="0" w:color="auto"/>
              <w:right w:val="single" w:sz="4" w:space="0" w:color="auto"/>
            </w:tcBorders>
            <w:vAlign w:val="center"/>
            <w:hideMark/>
          </w:tcPr>
          <w:p w14:paraId="2057958A" w14:textId="77777777" w:rsidR="00066142" w:rsidRDefault="00066142">
            <w:pPr>
              <w:jc w:val="center"/>
              <w:rPr>
                <w:rFonts w:ascii="宋体" w:hAnsi="宋体"/>
                <w:szCs w:val="21"/>
              </w:rPr>
            </w:pPr>
            <w:r>
              <w:rPr>
                <w:rFonts w:ascii="宋体" w:hAnsi="宋体" w:hint="eastAsia"/>
                <w:szCs w:val="21"/>
              </w:rPr>
              <w:t>95.33%</w:t>
            </w:r>
          </w:p>
        </w:tc>
        <w:tc>
          <w:tcPr>
            <w:tcW w:w="1134" w:type="dxa"/>
            <w:gridSpan w:val="3"/>
            <w:tcBorders>
              <w:top w:val="nil"/>
              <w:left w:val="nil"/>
              <w:bottom w:val="single" w:sz="4" w:space="0" w:color="auto"/>
              <w:right w:val="single" w:sz="4" w:space="0" w:color="auto"/>
            </w:tcBorders>
            <w:vAlign w:val="center"/>
            <w:hideMark/>
          </w:tcPr>
          <w:p w14:paraId="5B108528" w14:textId="77777777" w:rsidR="00066142" w:rsidRDefault="00066142">
            <w:pPr>
              <w:jc w:val="center"/>
              <w:rPr>
                <w:rFonts w:ascii="宋体" w:hAnsi="宋体"/>
                <w:szCs w:val="21"/>
              </w:rPr>
            </w:pPr>
            <w:r>
              <w:rPr>
                <w:rFonts w:ascii="宋体" w:hAnsi="宋体" w:hint="eastAsia"/>
                <w:szCs w:val="21"/>
              </w:rPr>
              <w:t>-</w:t>
            </w:r>
          </w:p>
        </w:tc>
        <w:tc>
          <w:tcPr>
            <w:tcW w:w="1184" w:type="dxa"/>
            <w:gridSpan w:val="2"/>
            <w:tcBorders>
              <w:top w:val="nil"/>
              <w:left w:val="nil"/>
              <w:bottom w:val="single" w:sz="4" w:space="0" w:color="auto"/>
              <w:right w:val="single" w:sz="4" w:space="0" w:color="auto"/>
            </w:tcBorders>
            <w:vAlign w:val="center"/>
            <w:hideMark/>
          </w:tcPr>
          <w:p w14:paraId="23D127F3" w14:textId="77777777" w:rsidR="00066142" w:rsidRDefault="00066142">
            <w:pPr>
              <w:jc w:val="center"/>
              <w:rPr>
                <w:rFonts w:ascii="宋体" w:hAnsi="宋体"/>
                <w:szCs w:val="21"/>
              </w:rPr>
            </w:pPr>
            <w:r>
              <w:rPr>
                <w:rFonts w:ascii="宋体" w:hAnsi="宋体" w:hint="eastAsia"/>
                <w:szCs w:val="21"/>
              </w:rPr>
              <w:t>-1,265.14</w:t>
            </w:r>
          </w:p>
        </w:tc>
        <w:tc>
          <w:tcPr>
            <w:tcW w:w="709" w:type="dxa"/>
            <w:gridSpan w:val="2"/>
            <w:tcBorders>
              <w:top w:val="nil"/>
              <w:left w:val="nil"/>
              <w:bottom w:val="single" w:sz="4" w:space="0" w:color="auto"/>
              <w:right w:val="single" w:sz="4" w:space="0" w:color="auto"/>
            </w:tcBorders>
            <w:vAlign w:val="center"/>
            <w:hideMark/>
          </w:tcPr>
          <w:p w14:paraId="29F655A4" w14:textId="77777777" w:rsidR="00066142" w:rsidRDefault="00066142">
            <w:pPr>
              <w:jc w:val="center"/>
              <w:rPr>
                <w:rFonts w:ascii="宋体" w:hAnsi="宋体"/>
                <w:szCs w:val="21"/>
              </w:rPr>
            </w:pPr>
            <w:r>
              <w:rPr>
                <w:rFonts w:ascii="宋体" w:hAnsi="宋体" w:hint="eastAsia"/>
                <w:szCs w:val="21"/>
              </w:rPr>
              <w:t>-</w:t>
            </w:r>
          </w:p>
        </w:tc>
        <w:tc>
          <w:tcPr>
            <w:tcW w:w="673" w:type="dxa"/>
            <w:tcBorders>
              <w:top w:val="nil"/>
              <w:left w:val="nil"/>
              <w:bottom w:val="single" w:sz="4" w:space="0" w:color="auto"/>
              <w:right w:val="single" w:sz="4" w:space="0" w:color="auto"/>
            </w:tcBorders>
            <w:vAlign w:val="center"/>
            <w:hideMark/>
          </w:tcPr>
          <w:p w14:paraId="6A404F8A" w14:textId="77777777" w:rsidR="00066142" w:rsidRDefault="00066142">
            <w:pPr>
              <w:jc w:val="center"/>
              <w:rPr>
                <w:rFonts w:ascii="宋体" w:hAnsi="宋体"/>
                <w:szCs w:val="21"/>
              </w:rPr>
            </w:pPr>
            <w:r>
              <w:rPr>
                <w:rFonts w:ascii="宋体" w:hAnsi="宋体" w:hint="eastAsia"/>
                <w:szCs w:val="21"/>
              </w:rPr>
              <w:t>-</w:t>
            </w:r>
          </w:p>
        </w:tc>
      </w:tr>
      <w:tr w:rsidR="00066142" w14:paraId="2CADFF97" w14:textId="77777777" w:rsidTr="00066142">
        <w:trPr>
          <w:gridAfter w:val="1"/>
          <w:wAfter w:w="569" w:type="dxa"/>
          <w:trHeight w:val="450"/>
        </w:trPr>
        <w:tc>
          <w:tcPr>
            <w:tcW w:w="6734" w:type="dxa"/>
            <w:gridSpan w:val="9"/>
            <w:tcBorders>
              <w:top w:val="single" w:sz="4" w:space="0" w:color="auto"/>
              <w:left w:val="single" w:sz="8" w:space="0" w:color="auto"/>
              <w:bottom w:val="single" w:sz="4" w:space="0" w:color="auto"/>
              <w:right w:val="single" w:sz="4" w:space="0" w:color="auto"/>
            </w:tcBorders>
            <w:vAlign w:val="center"/>
            <w:hideMark/>
          </w:tcPr>
          <w:p w14:paraId="4B2C523F" w14:textId="77777777" w:rsidR="00066142" w:rsidRDefault="00066142">
            <w:pPr>
              <w:jc w:val="center"/>
              <w:rPr>
                <w:rFonts w:ascii="宋体" w:hAnsi="宋体"/>
                <w:color w:val="000000"/>
                <w:szCs w:val="21"/>
              </w:rPr>
            </w:pPr>
            <w:r>
              <w:rPr>
                <w:rFonts w:ascii="宋体" w:hAnsi="宋体" w:hint="eastAsia"/>
                <w:color w:val="000000"/>
                <w:szCs w:val="21"/>
              </w:rPr>
              <w:t>未达到计划进度原因</w:t>
            </w:r>
          </w:p>
        </w:tc>
        <w:tc>
          <w:tcPr>
            <w:tcW w:w="8398" w:type="dxa"/>
            <w:gridSpan w:val="14"/>
            <w:tcBorders>
              <w:top w:val="single" w:sz="4" w:space="0" w:color="auto"/>
              <w:left w:val="nil"/>
              <w:bottom w:val="single" w:sz="4" w:space="0" w:color="auto"/>
              <w:right w:val="single" w:sz="8" w:space="0" w:color="000000"/>
            </w:tcBorders>
            <w:vAlign w:val="center"/>
            <w:hideMark/>
          </w:tcPr>
          <w:p w14:paraId="7E5C0EBA" w14:textId="77777777" w:rsidR="00066142" w:rsidRDefault="00066142">
            <w:pPr>
              <w:widowControl/>
              <w:ind w:firstLineChars="200" w:firstLine="420"/>
              <w:rPr>
                <w:rFonts w:ascii="宋体" w:hAnsi="宋体"/>
                <w:b/>
                <w:szCs w:val="21"/>
              </w:rPr>
            </w:pPr>
            <w:r>
              <w:rPr>
                <w:rFonts w:ascii="宋体" w:hAnsi="宋体" w:hint="eastAsia"/>
                <w:szCs w:val="21"/>
              </w:rPr>
              <w:t>汽车液力变矩器建设项目实施了生产线、厂房及配套建设内容，目前新建厂房及配套工程已投入使用，新建生产线已进入批量生产阶段，于2022年完成项目竣工验收。</w:t>
            </w:r>
          </w:p>
        </w:tc>
      </w:tr>
      <w:tr w:rsidR="00066142" w14:paraId="046196D1" w14:textId="77777777" w:rsidTr="00066142">
        <w:trPr>
          <w:gridAfter w:val="1"/>
          <w:wAfter w:w="569" w:type="dxa"/>
          <w:trHeight w:val="450"/>
        </w:trPr>
        <w:tc>
          <w:tcPr>
            <w:tcW w:w="6734" w:type="dxa"/>
            <w:gridSpan w:val="9"/>
            <w:tcBorders>
              <w:top w:val="single" w:sz="4" w:space="0" w:color="auto"/>
              <w:left w:val="single" w:sz="8" w:space="0" w:color="auto"/>
              <w:bottom w:val="single" w:sz="4" w:space="0" w:color="auto"/>
              <w:right w:val="single" w:sz="4" w:space="0" w:color="auto"/>
            </w:tcBorders>
            <w:vAlign w:val="center"/>
            <w:hideMark/>
          </w:tcPr>
          <w:p w14:paraId="2A330DD0" w14:textId="77777777" w:rsidR="00066142" w:rsidRDefault="00066142">
            <w:pPr>
              <w:jc w:val="center"/>
              <w:rPr>
                <w:rFonts w:ascii="宋体" w:hAnsi="宋体"/>
                <w:color w:val="000000"/>
                <w:szCs w:val="21"/>
              </w:rPr>
            </w:pPr>
            <w:r>
              <w:rPr>
                <w:rFonts w:ascii="宋体" w:hAnsi="宋体" w:hint="eastAsia"/>
                <w:color w:val="000000"/>
                <w:szCs w:val="21"/>
              </w:rPr>
              <w:t>项目可行性发生重大变化的情况说明</w:t>
            </w:r>
          </w:p>
        </w:tc>
        <w:tc>
          <w:tcPr>
            <w:tcW w:w="8398" w:type="dxa"/>
            <w:gridSpan w:val="14"/>
            <w:tcBorders>
              <w:top w:val="single" w:sz="4" w:space="0" w:color="auto"/>
              <w:left w:val="nil"/>
              <w:bottom w:val="single" w:sz="4" w:space="0" w:color="auto"/>
              <w:right w:val="single" w:sz="8" w:space="0" w:color="000000"/>
            </w:tcBorders>
            <w:vAlign w:val="center"/>
            <w:hideMark/>
          </w:tcPr>
          <w:p w14:paraId="03A5A2C2" w14:textId="77777777" w:rsidR="00066142" w:rsidRDefault="00066142">
            <w:pPr>
              <w:ind w:firstLineChars="200" w:firstLine="420"/>
              <w:jc w:val="left"/>
              <w:rPr>
                <w:rFonts w:ascii="宋体" w:hAnsi="宋体"/>
                <w:szCs w:val="21"/>
              </w:rPr>
            </w:pPr>
            <w:r>
              <w:rPr>
                <w:rFonts w:ascii="宋体" w:hAnsi="宋体" w:hint="eastAsia"/>
                <w:szCs w:val="21"/>
              </w:rPr>
              <w:t>鉴于公司非公开发行募集资金投资项目继续实施所面临的环境、行业风险，通过对</w:t>
            </w:r>
            <w:proofErr w:type="gramStart"/>
            <w:r>
              <w:rPr>
                <w:rFonts w:ascii="宋体" w:hAnsi="宋体" w:hint="eastAsia"/>
                <w:szCs w:val="21"/>
              </w:rPr>
              <w:t>募投项目</w:t>
            </w:r>
            <w:proofErr w:type="gramEnd"/>
            <w:r>
              <w:rPr>
                <w:rFonts w:ascii="宋体" w:hAnsi="宋体" w:hint="eastAsia"/>
                <w:szCs w:val="21"/>
              </w:rPr>
              <w:t>涉及的行业政策、市场容量、竞争对手产能等方面分析，同时会同业界专家研</w:t>
            </w:r>
            <w:r>
              <w:rPr>
                <w:rFonts w:ascii="宋体" w:hAnsi="宋体" w:hint="eastAsia"/>
                <w:szCs w:val="21"/>
              </w:rPr>
              <w:lastRenderedPageBreak/>
              <w:t>讨后，决定</w:t>
            </w:r>
            <w:proofErr w:type="gramStart"/>
            <w:r>
              <w:rPr>
                <w:rFonts w:ascii="宋体" w:hAnsi="宋体" w:hint="eastAsia"/>
                <w:szCs w:val="21"/>
              </w:rPr>
              <w:t>变更非</w:t>
            </w:r>
            <w:proofErr w:type="gramEnd"/>
            <w:r>
              <w:rPr>
                <w:rFonts w:ascii="宋体" w:hAnsi="宋体" w:hint="eastAsia"/>
                <w:szCs w:val="21"/>
              </w:rPr>
              <w:t>公开发行</w:t>
            </w:r>
            <w:proofErr w:type="gramStart"/>
            <w:r>
              <w:rPr>
                <w:rFonts w:ascii="宋体" w:hAnsi="宋体" w:hint="eastAsia"/>
                <w:szCs w:val="21"/>
              </w:rPr>
              <w:t>股票募投项目</w:t>
            </w:r>
            <w:proofErr w:type="gramEnd"/>
            <w:r>
              <w:rPr>
                <w:rFonts w:ascii="宋体" w:hAnsi="宋体" w:hint="eastAsia"/>
                <w:szCs w:val="21"/>
              </w:rPr>
              <w:t>，变更后的总投资金额57,684.00 万元，公司重新编制了该项目的可行性研究报告。</w:t>
            </w:r>
          </w:p>
        </w:tc>
      </w:tr>
      <w:tr w:rsidR="00066142" w14:paraId="64C9C2A0" w14:textId="77777777" w:rsidTr="00066142">
        <w:trPr>
          <w:gridAfter w:val="1"/>
          <w:wAfter w:w="569" w:type="dxa"/>
          <w:trHeight w:val="450"/>
        </w:trPr>
        <w:tc>
          <w:tcPr>
            <w:tcW w:w="6734" w:type="dxa"/>
            <w:gridSpan w:val="9"/>
            <w:tcBorders>
              <w:top w:val="single" w:sz="4" w:space="0" w:color="auto"/>
              <w:left w:val="single" w:sz="8" w:space="0" w:color="auto"/>
              <w:bottom w:val="single" w:sz="4" w:space="0" w:color="auto"/>
              <w:right w:val="single" w:sz="4" w:space="0" w:color="auto"/>
            </w:tcBorders>
            <w:vAlign w:val="center"/>
            <w:hideMark/>
          </w:tcPr>
          <w:p w14:paraId="2EE37517" w14:textId="77777777" w:rsidR="00066142" w:rsidRDefault="00066142">
            <w:pPr>
              <w:jc w:val="center"/>
              <w:rPr>
                <w:rFonts w:ascii="宋体" w:hAnsi="宋体"/>
                <w:color w:val="000000"/>
                <w:szCs w:val="21"/>
              </w:rPr>
            </w:pPr>
            <w:r>
              <w:rPr>
                <w:rFonts w:ascii="宋体" w:hAnsi="宋体" w:hint="eastAsia"/>
                <w:color w:val="000000"/>
                <w:szCs w:val="21"/>
              </w:rPr>
              <w:lastRenderedPageBreak/>
              <w:t>募集资金投资项目先期投入及置换情况</w:t>
            </w:r>
          </w:p>
        </w:tc>
        <w:tc>
          <w:tcPr>
            <w:tcW w:w="8398" w:type="dxa"/>
            <w:gridSpan w:val="14"/>
            <w:tcBorders>
              <w:top w:val="single" w:sz="4" w:space="0" w:color="auto"/>
              <w:left w:val="nil"/>
              <w:bottom w:val="single" w:sz="4" w:space="0" w:color="auto"/>
              <w:right w:val="single" w:sz="8" w:space="0" w:color="000000"/>
            </w:tcBorders>
            <w:vAlign w:val="center"/>
            <w:hideMark/>
          </w:tcPr>
          <w:p w14:paraId="670FD0CA" w14:textId="77777777" w:rsidR="00066142" w:rsidRDefault="00066142">
            <w:pPr>
              <w:ind w:firstLineChars="200" w:firstLine="420"/>
              <w:jc w:val="left"/>
              <w:rPr>
                <w:rFonts w:ascii="宋体" w:hAnsi="宋体"/>
                <w:color w:val="000000"/>
                <w:kern w:val="0"/>
                <w:szCs w:val="21"/>
              </w:rPr>
            </w:pPr>
            <w:r>
              <w:rPr>
                <w:rFonts w:ascii="宋体" w:hAnsi="宋体" w:hint="eastAsia"/>
                <w:color w:val="000000"/>
                <w:kern w:val="0"/>
                <w:szCs w:val="21"/>
              </w:rPr>
              <w:t>2013年8月10日公司第四届董事会第十九次会议审议通过了《关于募集资金置换预先投入募集资金投资项目的自筹资金的议案》，同意使用募集资金人民币 2,934.91 万元置换已预先投入募集资金投资项目的自筹资金。</w:t>
            </w:r>
          </w:p>
        </w:tc>
      </w:tr>
      <w:tr w:rsidR="00066142" w14:paraId="1ED62FCE" w14:textId="77777777" w:rsidTr="00066142">
        <w:trPr>
          <w:gridAfter w:val="1"/>
          <w:wAfter w:w="569" w:type="dxa"/>
          <w:trHeight w:val="442"/>
        </w:trPr>
        <w:tc>
          <w:tcPr>
            <w:tcW w:w="6734" w:type="dxa"/>
            <w:gridSpan w:val="9"/>
            <w:tcBorders>
              <w:top w:val="single" w:sz="4" w:space="0" w:color="auto"/>
              <w:left w:val="single" w:sz="8" w:space="0" w:color="auto"/>
              <w:bottom w:val="single" w:sz="4" w:space="0" w:color="auto"/>
              <w:right w:val="single" w:sz="4" w:space="0" w:color="auto"/>
            </w:tcBorders>
            <w:vAlign w:val="center"/>
            <w:hideMark/>
          </w:tcPr>
          <w:p w14:paraId="2B3C6DE3" w14:textId="77777777" w:rsidR="00066142" w:rsidRDefault="00066142">
            <w:pPr>
              <w:jc w:val="center"/>
              <w:rPr>
                <w:rFonts w:ascii="宋体" w:hAnsi="宋体"/>
                <w:color w:val="000000"/>
                <w:szCs w:val="21"/>
              </w:rPr>
            </w:pPr>
            <w:r>
              <w:rPr>
                <w:rFonts w:ascii="宋体" w:hAnsi="宋体" w:hint="eastAsia"/>
                <w:color w:val="000000"/>
                <w:szCs w:val="21"/>
              </w:rPr>
              <w:t>用闲置募集资金暂时补充流动资金情况</w:t>
            </w:r>
          </w:p>
        </w:tc>
        <w:tc>
          <w:tcPr>
            <w:tcW w:w="8398" w:type="dxa"/>
            <w:gridSpan w:val="14"/>
            <w:tcBorders>
              <w:top w:val="single" w:sz="4" w:space="0" w:color="auto"/>
              <w:left w:val="nil"/>
              <w:bottom w:val="single" w:sz="4" w:space="0" w:color="auto"/>
              <w:right w:val="single" w:sz="8" w:space="0" w:color="000000"/>
            </w:tcBorders>
            <w:vAlign w:val="center"/>
            <w:hideMark/>
          </w:tcPr>
          <w:p w14:paraId="4850574F" w14:textId="77777777" w:rsidR="00066142" w:rsidRDefault="00066142">
            <w:pPr>
              <w:widowControl/>
              <w:ind w:firstLineChars="200" w:firstLine="420"/>
              <w:rPr>
                <w:rFonts w:ascii="宋体" w:hAnsi="宋体"/>
                <w:color w:val="000000"/>
                <w:szCs w:val="21"/>
              </w:rPr>
            </w:pPr>
            <w:r>
              <w:rPr>
                <w:rFonts w:ascii="宋体" w:hAnsi="宋体" w:hint="eastAsia"/>
                <w:color w:val="000000"/>
                <w:szCs w:val="21"/>
              </w:rPr>
              <w:t>2018年10月25日，第六届董事会第十一次会议审议通过了《关于使用部分闲置募集资金暂时补充流动资金的议案》，同意公司使用部分闲置募集资金30,000.00万元暂时补充流动资金，使用期限自董事会审批之日起不超过6个月，该笔资金仅限于与公司主营业务相关的 生产经营使用。2019年4月24日，公司已将上述资金 30,000.00 万元归还至募集资金专用账户。</w:t>
            </w:r>
          </w:p>
          <w:p w14:paraId="4D32543B" w14:textId="77777777" w:rsidR="00066142" w:rsidRDefault="00066142">
            <w:pPr>
              <w:widowControl/>
              <w:ind w:firstLineChars="200" w:firstLine="420"/>
              <w:rPr>
                <w:rFonts w:ascii="宋体" w:hAnsi="宋体"/>
                <w:color w:val="000000"/>
                <w:szCs w:val="21"/>
              </w:rPr>
            </w:pPr>
            <w:r>
              <w:rPr>
                <w:rFonts w:ascii="宋体" w:hAnsi="宋体" w:hint="eastAsia"/>
                <w:color w:val="000000"/>
                <w:szCs w:val="21"/>
              </w:rPr>
              <w:t xml:space="preserve">2022年2月16日，公司第七届董事会第十五次会议审议通过了《关于使用闲置募集资金进行现金管理的议案》，同意公司在不影响募集资金使用的情况下，对不超过24,500.00万元暂时补充流动资金，使用期限自董事会审批后具体实施之日起不超过 12个月有效，该笔资金仅限于与公司主营业务相关的生产经营使用。本次使用募集资金暂时补充流动资金24,200.00万元于2022年6月28日归还至募集资金专用账户。                                                                                                                                                                                                                                  </w:t>
            </w:r>
          </w:p>
        </w:tc>
      </w:tr>
      <w:tr w:rsidR="00066142" w14:paraId="74878CE8" w14:textId="77777777" w:rsidTr="00066142">
        <w:trPr>
          <w:gridAfter w:val="1"/>
          <w:wAfter w:w="569" w:type="dxa"/>
          <w:trHeight w:val="396"/>
        </w:trPr>
        <w:tc>
          <w:tcPr>
            <w:tcW w:w="6734" w:type="dxa"/>
            <w:gridSpan w:val="9"/>
            <w:tcBorders>
              <w:top w:val="single" w:sz="4" w:space="0" w:color="auto"/>
              <w:left w:val="single" w:sz="8" w:space="0" w:color="auto"/>
              <w:bottom w:val="single" w:sz="4" w:space="0" w:color="auto"/>
              <w:right w:val="single" w:sz="4" w:space="0" w:color="auto"/>
            </w:tcBorders>
            <w:vAlign w:val="center"/>
            <w:hideMark/>
          </w:tcPr>
          <w:p w14:paraId="19F4B98C" w14:textId="77777777" w:rsidR="00066142" w:rsidRDefault="00066142">
            <w:pPr>
              <w:jc w:val="center"/>
              <w:rPr>
                <w:rFonts w:ascii="宋体" w:hAnsi="宋体"/>
                <w:color w:val="000000"/>
                <w:szCs w:val="21"/>
              </w:rPr>
            </w:pPr>
            <w:r>
              <w:rPr>
                <w:rFonts w:ascii="宋体" w:hAnsi="宋体" w:hint="eastAsia"/>
                <w:color w:val="000000"/>
                <w:szCs w:val="21"/>
              </w:rPr>
              <w:t>对闲置募集资金进行现金管理，投资相关产品情况</w:t>
            </w:r>
          </w:p>
        </w:tc>
        <w:tc>
          <w:tcPr>
            <w:tcW w:w="8398" w:type="dxa"/>
            <w:gridSpan w:val="14"/>
            <w:tcBorders>
              <w:top w:val="single" w:sz="4" w:space="0" w:color="auto"/>
              <w:left w:val="nil"/>
              <w:bottom w:val="single" w:sz="4" w:space="0" w:color="auto"/>
              <w:right w:val="single" w:sz="8" w:space="0" w:color="000000"/>
            </w:tcBorders>
            <w:vAlign w:val="center"/>
            <w:hideMark/>
          </w:tcPr>
          <w:p w14:paraId="5C7EDCD1" w14:textId="77777777" w:rsidR="00066142" w:rsidRDefault="00066142">
            <w:pPr>
              <w:widowControl/>
              <w:ind w:firstLineChars="200" w:firstLine="420"/>
              <w:rPr>
                <w:rFonts w:ascii="宋体" w:hAnsi="宋体"/>
                <w:color w:val="000000"/>
                <w:kern w:val="0"/>
                <w:szCs w:val="21"/>
              </w:rPr>
            </w:pPr>
            <w:r>
              <w:rPr>
                <w:rFonts w:ascii="宋体" w:hAnsi="宋体" w:hint="eastAsia"/>
                <w:color w:val="000000"/>
                <w:kern w:val="0"/>
                <w:szCs w:val="21"/>
              </w:rPr>
              <w:t>2021年8月19日，公司第七届董事会第十次会议审议通过了《关于使用闲置募集资金进行现金管理的议案》，同意公司在不影响募集资金使用的情况下，对不超过20,000.00万元暂时闲置募集资金，选择保本、风险低、流动性强的现金管理业务。自董事会审议通过之日起 12个月（含）有效。</w:t>
            </w:r>
          </w:p>
          <w:p w14:paraId="09EA172B" w14:textId="77777777" w:rsidR="00066142" w:rsidRDefault="00066142">
            <w:pPr>
              <w:widowControl/>
              <w:ind w:firstLineChars="200" w:firstLine="420"/>
              <w:rPr>
                <w:rFonts w:ascii="宋体" w:hAnsi="宋体"/>
                <w:color w:val="000000"/>
                <w:kern w:val="0"/>
                <w:szCs w:val="21"/>
              </w:rPr>
            </w:pPr>
            <w:r>
              <w:rPr>
                <w:rFonts w:ascii="宋体" w:hAnsi="宋体" w:hint="eastAsia"/>
                <w:color w:val="000000"/>
                <w:kern w:val="0"/>
                <w:szCs w:val="21"/>
              </w:rPr>
              <w:t xml:space="preserve">截至募集资金项目结项，公司使用闲置募集资金进行现金管理金额为0万元。         </w:t>
            </w:r>
          </w:p>
        </w:tc>
      </w:tr>
      <w:tr w:rsidR="00066142" w14:paraId="6D7DB6A1" w14:textId="77777777" w:rsidTr="00066142">
        <w:trPr>
          <w:gridAfter w:val="1"/>
          <w:wAfter w:w="569" w:type="dxa"/>
          <w:trHeight w:val="396"/>
        </w:trPr>
        <w:tc>
          <w:tcPr>
            <w:tcW w:w="6734" w:type="dxa"/>
            <w:gridSpan w:val="9"/>
            <w:tcBorders>
              <w:top w:val="single" w:sz="4" w:space="0" w:color="auto"/>
              <w:left w:val="single" w:sz="8" w:space="0" w:color="auto"/>
              <w:bottom w:val="single" w:sz="4" w:space="0" w:color="auto"/>
              <w:right w:val="single" w:sz="4" w:space="0" w:color="auto"/>
            </w:tcBorders>
            <w:vAlign w:val="center"/>
            <w:hideMark/>
          </w:tcPr>
          <w:p w14:paraId="0F359AA4" w14:textId="77777777" w:rsidR="00066142" w:rsidRDefault="00066142">
            <w:pPr>
              <w:jc w:val="center"/>
              <w:rPr>
                <w:rFonts w:ascii="宋体" w:hAnsi="宋体"/>
                <w:color w:val="000000"/>
                <w:szCs w:val="21"/>
              </w:rPr>
            </w:pPr>
            <w:r>
              <w:rPr>
                <w:rFonts w:ascii="宋体" w:hAnsi="宋体" w:hint="eastAsia"/>
                <w:color w:val="000000"/>
                <w:szCs w:val="21"/>
              </w:rPr>
              <w:t>用超募资金永久补充流动资金或归还银行贷款情况</w:t>
            </w:r>
          </w:p>
        </w:tc>
        <w:tc>
          <w:tcPr>
            <w:tcW w:w="8398" w:type="dxa"/>
            <w:gridSpan w:val="14"/>
            <w:tcBorders>
              <w:top w:val="single" w:sz="4" w:space="0" w:color="auto"/>
              <w:left w:val="nil"/>
              <w:bottom w:val="single" w:sz="4" w:space="0" w:color="auto"/>
              <w:right w:val="single" w:sz="8" w:space="0" w:color="000000"/>
            </w:tcBorders>
            <w:vAlign w:val="center"/>
            <w:hideMark/>
          </w:tcPr>
          <w:p w14:paraId="167A50E2" w14:textId="77777777" w:rsidR="00066142" w:rsidRDefault="00066142">
            <w:pPr>
              <w:widowControl/>
              <w:ind w:firstLineChars="1900" w:firstLine="3990"/>
              <w:rPr>
                <w:rFonts w:ascii="宋体" w:hAnsi="宋体"/>
                <w:color w:val="000000"/>
                <w:kern w:val="0"/>
                <w:szCs w:val="21"/>
              </w:rPr>
            </w:pPr>
            <w:r>
              <w:rPr>
                <w:rFonts w:ascii="宋体" w:hAnsi="宋体" w:hint="eastAsia"/>
                <w:color w:val="000000"/>
                <w:kern w:val="0"/>
                <w:szCs w:val="21"/>
              </w:rPr>
              <w:t>无</w:t>
            </w:r>
          </w:p>
        </w:tc>
      </w:tr>
      <w:tr w:rsidR="00066142" w14:paraId="5B9FEC56" w14:textId="77777777" w:rsidTr="00066142">
        <w:trPr>
          <w:gridAfter w:val="1"/>
          <w:wAfter w:w="569" w:type="dxa"/>
          <w:trHeight w:val="450"/>
        </w:trPr>
        <w:tc>
          <w:tcPr>
            <w:tcW w:w="6734" w:type="dxa"/>
            <w:gridSpan w:val="9"/>
            <w:tcBorders>
              <w:top w:val="single" w:sz="4" w:space="0" w:color="auto"/>
              <w:left w:val="single" w:sz="8" w:space="0" w:color="auto"/>
              <w:bottom w:val="single" w:sz="4" w:space="0" w:color="auto"/>
              <w:right w:val="single" w:sz="4" w:space="0" w:color="auto"/>
            </w:tcBorders>
            <w:vAlign w:val="center"/>
            <w:hideMark/>
          </w:tcPr>
          <w:p w14:paraId="0AD4381A" w14:textId="77777777" w:rsidR="00066142" w:rsidRDefault="00066142">
            <w:pPr>
              <w:jc w:val="center"/>
              <w:rPr>
                <w:rFonts w:ascii="宋体" w:hAnsi="宋体"/>
                <w:color w:val="000000"/>
                <w:szCs w:val="21"/>
              </w:rPr>
            </w:pPr>
            <w:r>
              <w:rPr>
                <w:rFonts w:ascii="宋体" w:hAnsi="宋体" w:hint="eastAsia"/>
                <w:color w:val="000000"/>
                <w:szCs w:val="21"/>
              </w:rPr>
              <w:t>募集资金结余的金额及形成原因</w:t>
            </w:r>
          </w:p>
        </w:tc>
        <w:tc>
          <w:tcPr>
            <w:tcW w:w="8398" w:type="dxa"/>
            <w:gridSpan w:val="14"/>
            <w:tcBorders>
              <w:top w:val="single" w:sz="4" w:space="0" w:color="auto"/>
              <w:left w:val="nil"/>
              <w:bottom w:val="single" w:sz="4" w:space="0" w:color="auto"/>
              <w:right w:val="single" w:sz="8" w:space="0" w:color="000000"/>
            </w:tcBorders>
            <w:vAlign w:val="center"/>
            <w:hideMark/>
          </w:tcPr>
          <w:p w14:paraId="0A78E96F" w14:textId="77777777" w:rsidR="00066142" w:rsidRDefault="00066142">
            <w:pPr>
              <w:ind w:firstLineChars="1900" w:firstLine="3990"/>
              <w:rPr>
                <w:rFonts w:ascii="宋体" w:hAnsi="宋体"/>
                <w:color w:val="000000"/>
                <w:szCs w:val="21"/>
              </w:rPr>
            </w:pPr>
            <w:r>
              <w:rPr>
                <w:rFonts w:ascii="宋体" w:hAnsi="宋体" w:hint="eastAsia"/>
                <w:color w:val="000000"/>
                <w:kern w:val="0"/>
                <w:szCs w:val="21"/>
              </w:rPr>
              <w:t>无</w:t>
            </w:r>
          </w:p>
        </w:tc>
      </w:tr>
      <w:tr w:rsidR="00066142" w14:paraId="72ABD278" w14:textId="77777777" w:rsidTr="00066142">
        <w:trPr>
          <w:gridAfter w:val="1"/>
          <w:wAfter w:w="569" w:type="dxa"/>
          <w:trHeight w:val="450"/>
        </w:trPr>
        <w:tc>
          <w:tcPr>
            <w:tcW w:w="6734" w:type="dxa"/>
            <w:gridSpan w:val="9"/>
            <w:tcBorders>
              <w:top w:val="single" w:sz="4" w:space="0" w:color="auto"/>
              <w:left w:val="single" w:sz="8" w:space="0" w:color="auto"/>
              <w:bottom w:val="single" w:sz="8" w:space="0" w:color="auto"/>
              <w:right w:val="single" w:sz="4" w:space="0" w:color="auto"/>
            </w:tcBorders>
            <w:vAlign w:val="center"/>
            <w:hideMark/>
          </w:tcPr>
          <w:p w14:paraId="213A951B" w14:textId="77777777" w:rsidR="00066142" w:rsidRDefault="00066142">
            <w:pPr>
              <w:jc w:val="center"/>
              <w:rPr>
                <w:rFonts w:ascii="宋体" w:hAnsi="宋体"/>
                <w:color w:val="000000"/>
                <w:szCs w:val="21"/>
              </w:rPr>
            </w:pPr>
            <w:r>
              <w:rPr>
                <w:rFonts w:ascii="宋体" w:hAnsi="宋体" w:hint="eastAsia"/>
                <w:color w:val="000000"/>
                <w:szCs w:val="21"/>
              </w:rPr>
              <w:t>募集资金其他使用情况</w:t>
            </w:r>
          </w:p>
        </w:tc>
        <w:tc>
          <w:tcPr>
            <w:tcW w:w="8398" w:type="dxa"/>
            <w:gridSpan w:val="14"/>
            <w:tcBorders>
              <w:top w:val="single" w:sz="4" w:space="0" w:color="auto"/>
              <w:left w:val="nil"/>
              <w:bottom w:val="single" w:sz="8" w:space="0" w:color="auto"/>
              <w:right w:val="single" w:sz="8" w:space="0" w:color="000000"/>
            </w:tcBorders>
            <w:vAlign w:val="center"/>
            <w:hideMark/>
          </w:tcPr>
          <w:p w14:paraId="5F76FBEE" w14:textId="77777777" w:rsidR="00066142" w:rsidRDefault="00066142">
            <w:pPr>
              <w:jc w:val="center"/>
              <w:rPr>
                <w:rFonts w:ascii="宋体" w:hAnsi="宋体"/>
                <w:color w:val="000000"/>
                <w:szCs w:val="21"/>
              </w:rPr>
            </w:pPr>
            <w:r>
              <w:rPr>
                <w:rFonts w:ascii="宋体" w:hAnsi="宋体" w:hint="eastAsia"/>
                <w:color w:val="000000"/>
                <w:kern w:val="0"/>
                <w:szCs w:val="21"/>
              </w:rPr>
              <w:t>无</w:t>
            </w:r>
          </w:p>
        </w:tc>
      </w:tr>
      <w:tr w:rsidR="00066142" w14:paraId="5368F021" w14:textId="77777777" w:rsidTr="00066142">
        <w:trPr>
          <w:trHeight w:val="495"/>
        </w:trPr>
        <w:tc>
          <w:tcPr>
            <w:tcW w:w="15701" w:type="dxa"/>
            <w:gridSpan w:val="24"/>
            <w:tcBorders>
              <w:top w:val="single" w:sz="4" w:space="0" w:color="auto"/>
              <w:left w:val="nil"/>
              <w:bottom w:val="nil"/>
              <w:right w:val="nil"/>
            </w:tcBorders>
            <w:vAlign w:val="center"/>
          </w:tcPr>
          <w:p w14:paraId="44B62CD8" w14:textId="77777777" w:rsidR="00066142" w:rsidRDefault="00066142">
            <w:pPr>
              <w:spacing w:line="360" w:lineRule="exact"/>
              <w:jc w:val="left"/>
              <w:rPr>
                <w:rFonts w:ascii="宋体" w:hAnsi="宋体"/>
                <w:color w:val="000000"/>
                <w:szCs w:val="21"/>
              </w:rPr>
            </w:pPr>
            <w:r>
              <w:rPr>
                <w:rFonts w:ascii="宋体" w:hAnsi="宋体" w:hint="eastAsia"/>
                <w:color w:val="000000"/>
                <w:szCs w:val="21"/>
              </w:rPr>
              <w:t>注1：“本年度投入募集资金总额”包括募集资金到账后“本年度投入金额”及实际已置换先期投入金额。</w:t>
            </w:r>
          </w:p>
          <w:p w14:paraId="1BE34000" w14:textId="77777777" w:rsidR="00066142" w:rsidRDefault="00066142">
            <w:pPr>
              <w:spacing w:line="360" w:lineRule="exact"/>
              <w:jc w:val="left"/>
              <w:rPr>
                <w:rFonts w:ascii="宋体" w:hAnsi="宋体"/>
                <w:color w:val="000000"/>
                <w:szCs w:val="21"/>
              </w:rPr>
            </w:pPr>
            <w:r>
              <w:rPr>
                <w:rFonts w:ascii="宋体" w:hAnsi="宋体" w:hint="eastAsia"/>
                <w:color w:val="000000"/>
                <w:szCs w:val="21"/>
              </w:rPr>
              <w:t>注2：“截至期末承诺投入金额”以最近一次已披露募集资金投资计划为依据确定。</w:t>
            </w:r>
          </w:p>
          <w:p w14:paraId="781AF831" w14:textId="77777777" w:rsidR="00066142" w:rsidRDefault="00066142">
            <w:pPr>
              <w:spacing w:line="360" w:lineRule="exact"/>
              <w:jc w:val="left"/>
              <w:rPr>
                <w:rFonts w:ascii="宋体" w:hAnsi="宋体"/>
                <w:color w:val="000000"/>
                <w:szCs w:val="21"/>
              </w:rPr>
            </w:pPr>
            <w:r>
              <w:rPr>
                <w:rFonts w:ascii="宋体" w:hAnsi="宋体" w:hint="eastAsia"/>
                <w:color w:val="000000"/>
                <w:szCs w:val="21"/>
              </w:rPr>
              <w:t>注3：“本年度实现的效益”的计算口径、计算方法应与承诺效益的计算口径、计算方法一致。</w:t>
            </w:r>
          </w:p>
          <w:p w14:paraId="3DB078D8" w14:textId="77777777" w:rsidR="00066142" w:rsidRDefault="00066142">
            <w:pPr>
              <w:spacing w:line="360" w:lineRule="exact"/>
              <w:jc w:val="left"/>
              <w:rPr>
                <w:rFonts w:ascii="宋体" w:hAnsi="宋体"/>
                <w:color w:val="000000"/>
                <w:szCs w:val="21"/>
              </w:rPr>
            </w:pPr>
            <w:r>
              <w:rPr>
                <w:rFonts w:ascii="宋体" w:hAnsi="宋体" w:hint="eastAsia"/>
                <w:color w:val="000000"/>
                <w:szCs w:val="21"/>
              </w:rPr>
              <w:t>注4：汽车液力变矩器建设项目，截至2022年12月31日累计投入金额与承诺投入金额的差额5134.28万元，包括项目铺底流动资金3836万元（已转出至公司基本账户）以及</w:t>
            </w:r>
            <w:proofErr w:type="gramStart"/>
            <w:r>
              <w:rPr>
                <w:rFonts w:ascii="宋体" w:hAnsi="宋体" w:hint="eastAsia"/>
                <w:color w:val="000000"/>
                <w:szCs w:val="21"/>
              </w:rPr>
              <w:t>待支付</w:t>
            </w:r>
            <w:proofErr w:type="gramEnd"/>
            <w:r>
              <w:rPr>
                <w:rFonts w:ascii="宋体" w:hAnsi="宋体" w:hint="eastAsia"/>
                <w:color w:val="000000"/>
                <w:szCs w:val="21"/>
              </w:rPr>
              <w:t>的生产线设备质保金1298.28万元（已转出至公司基本账户，将按合同约定进行支付）。</w:t>
            </w:r>
          </w:p>
          <w:p w14:paraId="32669570" w14:textId="4A21A38D" w:rsidR="00066142" w:rsidRDefault="00066142">
            <w:pPr>
              <w:spacing w:line="360" w:lineRule="exact"/>
              <w:jc w:val="left"/>
              <w:rPr>
                <w:rFonts w:ascii="宋体" w:hAnsi="宋体"/>
                <w:b/>
                <w:bCs/>
                <w:color w:val="000000"/>
                <w:szCs w:val="21"/>
              </w:rPr>
            </w:pPr>
            <w:r>
              <w:rPr>
                <w:rFonts w:ascii="宋体" w:hAnsi="宋体" w:hint="eastAsia"/>
                <w:b/>
                <w:bCs/>
                <w:color w:val="000000"/>
                <w:szCs w:val="21"/>
              </w:rPr>
              <w:lastRenderedPageBreak/>
              <w:t>附表2</w:t>
            </w:r>
          </w:p>
          <w:p w14:paraId="247FBC56" w14:textId="77777777" w:rsidR="00066142" w:rsidRDefault="00066142">
            <w:pPr>
              <w:spacing w:line="360" w:lineRule="exact"/>
              <w:jc w:val="center"/>
              <w:rPr>
                <w:rFonts w:ascii="宋体" w:hAnsi="宋体"/>
                <w:b/>
                <w:bCs/>
                <w:color w:val="000000"/>
                <w:szCs w:val="21"/>
              </w:rPr>
            </w:pPr>
            <w:r>
              <w:rPr>
                <w:rFonts w:ascii="宋体" w:hAnsi="宋体" w:hint="eastAsia"/>
                <w:b/>
                <w:bCs/>
                <w:color w:val="000000"/>
                <w:szCs w:val="21"/>
              </w:rPr>
              <w:t>变更募集资金投资项目情况表</w:t>
            </w:r>
          </w:p>
        </w:tc>
      </w:tr>
      <w:tr w:rsidR="00066142" w14:paraId="1D1471C6" w14:textId="77777777" w:rsidTr="00066142">
        <w:trPr>
          <w:trHeight w:val="495"/>
        </w:trPr>
        <w:tc>
          <w:tcPr>
            <w:tcW w:w="15701" w:type="dxa"/>
            <w:gridSpan w:val="24"/>
            <w:vAlign w:val="center"/>
            <w:hideMark/>
          </w:tcPr>
          <w:p w14:paraId="7BD1075D" w14:textId="5ADCF9A5" w:rsidR="00066142" w:rsidRDefault="00066142" w:rsidP="00066142">
            <w:pPr>
              <w:spacing w:line="60" w:lineRule="atLeast"/>
              <w:ind w:right="945"/>
              <w:jc w:val="center"/>
              <w:rPr>
                <w:rFonts w:ascii="宋体" w:hAnsi="宋体"/>
                <w:b/>
                <w:color w:val="000000"/>
                <w:sz w:val="24"/>
              </w:rPr>
            </w:pPr>
            <w:r>
              <w:rPr>
                <w:rFonts w:ascii="宋体" w:hAnsi="宋体"/>
                <w:b/>
                <w:color w:val="000000"/>
                <w:sz w:val="24"/>
              </w:rPr>
              <w:lastRenderedPageBreak/>
              <w:t xml:space="preserve">       </w:t>
            </w:r>
            <w:r>
              <w:rPr>
                <w:rFonts w:ascii="宋体" w:hAnsi="宋体" w:hint="eastAsia"/>
                <w:b/>
                <w:color w:val="000000"/>
                <w:sz w:val="24"/>
              </w:rPr>
              <w:t>2022年度</w:t>
            </w:r>
          </w:p>
        </w:tc>
      </w:tr>
      <w:tr w:rsidR="00066142" w14:paraId="20C2D6CD" w14:textId="77777777" w:rsidTr="00066142">
        <w:trPr>
          <w:trHeight w:val="465"/>
        </w:trPr>
        <w:tc>
          <w:tcPr>
            <w:tcW w:w="6285" w:type="dxa"/>
            <w:gridSpan w:val="8"/>
            <w:vAlign w:val="center"/>
            <w:hideMark/>
          </w:tcPr>
          <w:p w14:paraId="345D7D7D" w14:textId="77777777" w:rsidR="00066142" w:rsidRDefault="00066142">
            <w:pPr>
              <w:spacing w:line="360" w:lineRule="exact"/>
              <w:rPr>
                <w:rFonts w:ascii="宋体" w:hAnsi="宋体"/>
                <w:b/>
                <w:bCs/>
                <w:color w:val="000000"/>
                <w:sz w:val="24"/>
              </w:rPr>
            </w:pPr>
            <w:r>
              <w:rPr>
                <w:rFonts w:ascii="宋体" w:hAnsi="宋体" w:hint="eastAsia"/>
                <w:b/>
                <w:bCs/>
                <w:color w:val="000000"/>
                <w:sz w:val="24"/>
              </w:rPr>
              <w:t>编制单位：陕西航天动力高科技股份有限公司</w:t>
            </w:r>
          </w:p>
        </w:tc>
        <w:tc>
          <w:tcPr>
            <w:tcW w:w="1738" w:type="dxa"/>
            <w:gridSpan w:val="2"/>
            <w:vAlign w:val="center"/>
          </w:tcPr>
          <w:p w14:paraId="01A405F9" w14:textId="77777777" w:rsidR="00066142" w:rsidRDefault="00066142">
            <w:pPr>
              <w:spacing w:line="360" w:lineRule="exact"/>
              <w:jc w:val="center"/>
              <w:rPr>
                <w:rFonts w:ascii="宋体" w:hAnsi="宋体"/>
                <w:color w:val="000000"/>
                <w:sz w:val="24"/>
              </w:rPr>
            </w:pPr>
          </w:p>
        </w:tc>
        <w:tc>
          <w:tcPr>
            <w:tcW w:w="1176" w:type="dxa"/>
            <w:vAlign w:val="center"/>
          </w:tcPr>
          <w:p w14:paraId="0C85C19B" w14:textId="77777777" w:rsidR="00066142" w:rsidRDefault="00066142">
            <w:pPr>
              <w:spacing w:line="360" w:lineRule="exact"/>
              <w:jc w:val="center"/>
              <w:rPr>
                <w:rFonts w:ascii="宋体" w:hAnsi="宋体"/>
                <w:color w:val="000000"/>
                <w:sz w:val="24"/>
              </w:rPr>
            </w:pPr>
          </w:p>
        </w:tc>
        <w:tc>
          <w:tcPr>
            <w:tcW w:w="939" w:type="dxa"/>
            <w:gridSpan w:val="2"/>
            <w:vAlign w:val="center"/>
          </w:tcPr>
          <w:p w14:paraId="026107DE" w14:textId="77777777" w:rsidR="00066142" w:rsidRDefault="00066142">
            <w:pPr>
              <w:spacing w:line="360" w:lineRule="exact"/>
              <w:jc w:val="center"/>
              <w:rPr>
                <w:rFonts w:ascii="宋体" w:hAnsi="宋体"/>
                <w:color w:val="000000"/>
                <w:sz w:val="24"/>
              </w:rPr>
            </w:pPr>
          </w:p>
        </w:tc>
        <w:tc>
          <w:tcPr>
            <w:tcW w:w="1711" w:type="dxa"/>
            <w:gridSpan w:val="4"/>
            <w:vAlign w:val="center"/>
          </w:tcPr>
          <w:p w14:paraId="5F77833C" w14:textId="77777777" w:rsidR="00066142" w:rsidRDefault="00066142">
            <w:pPr>
              <w:spacing w:line="360" w:lineRule="exact"/>
              <w:jc w:val="center"/>
              <w:rPr>
                <w:rFonts w:ascii="宋体" w:hAnsi="宋体"/>
                <w:color w:val="000000"/>
                <w:sz w:val="24"/>
              </w:rPr>
            </w:pPr>
          </w:p>
        </w:tc>
        <w:tc>
          <w:tcPr>
            <w:tcW w:w="3852" w:type="dxa"/>
            <w:gridSpan w:val="7"/>
            <w:tcBorders>
              <w:top w:val="nil"/>
              <w:left w:val="nil"/>
              <w:bottom w:val="single" w:sz="8" w:space="0" w:color="auto"/>
              <w:right w:val="nil"/>
            </w:tcBorders>
            <w:vAlign w:val="center"/>
            <w:hideMark/>
          </w:tcPr>
          <w:p w14:paraId="06F2841C" w14:textId="77777777" w:rsidR="00066142" w:rsidRDefault="00066142">
            <w:pPr>
              <w:spacing w:line="360" w:lineRule="exact"/>
              <w:jc w:val="right"/>
              <w:rPr>
                <w:rFonts w:ascii="宋体" w:hAnsi="宋体"/>
                <w:b/>
                <w:bCs/>
                <w:color w:val="000000"/>
                <w:sz w:val="24"/>
              </w:rPr>
            </w:pPr>
            <w:r>
              <w:rPr>
                <w:rFonts w:ascii="宋体" w:hAnsi="宋体" w:hint="eastAsia"/>
                <w:b/>
                <w:bCs/>
                <w:color w:val="000000"/>
                <w:sz w:val="24"/>
              </w:rPr>
              <w:t>金额单位：人民币万元</w:t>
            </w:r>
          </w:p>
        </w:tc>
      </w:tr>
      <w:tr w:rsidR="00066142" w14:paraId="7BEE4E12" w14:textId="77777777" w:rsidTr="00066142">
        <w:trPr>
          <w:trHeight w:val="960"/>
        </w:trPr>
        <w:tc>
          <w:tcPr>
            <w:tcW w:w="1934" w:type="dxa"/>
            <w:tcBorders>
              <w:top w:val="single" w:sz="8" w:space="0" w:color="auto"/>
              <w:left w:val="single" w:sz="8" w:space="0" w:color="auto"/>
              <w:bottom w:val="single" w:sz="4" w:space="0" w:color="auto"/>
              <w:right w:val="single" w:sz="4" w:space="0" w:color="auto"/>
            </w:tcBorders>
            <w:vAlign w:val="center"/>
            <w:hideMark/>
          </w:tcPr>
          <w:p w14:paraId="6DB74BE3" w14:textId="77777777" w:rsidR="00066142" w:rsidRDefault="00066142">
            <w:pPr>
              <w:jc w:val="center"/>
              <w:rPr>
                <w:rFonts w:ascii="宋体" w:hAnsi="宋体"/>
                <w:color w:val="000000"/>
                <w:szCs w:val="21"/>
              </w:rPr>
            </w:pPr>
            <w:r>
              <w:rPr>
                <w:rFonts w:ascii="宋体" w:hAnsi="宋体" w:hint="eastAsia"/>
                <w:color w:val="000000"/>
                <w:szCs w:val="21"/>
              </w:rPr>
              <w:t>变更后的项目</w:t>
            </w:r>
          </w:p>
        </w:tc>
        <w:tc>
          <w:tcPr>
            <w:tcW w:w="1426" w:type="dxa"/>
            <w:gridSpan w:val="2"/>
            <w:tcBorders>
              <w:top w:val="single" w:sz="8" w:space="0" w:color="auto"/>
              <w:left w:val="nil"/>
              <w:bottom w:val="single" w:sz="4" w:space="0" w:color="auto"/>
              <w:right w:val="single" w:sz="4" w:space="0" w:color="auto"/>
            </w:tcBorders>
            <w:vAlign w:val="center"/>
            <w:hideMark/>
          </w:tcPr>
          <w:p w14:paraId="2BE7465E" w14:textId="77777777" w:rsidR="00066142" w:rsidRDefault="00066142">
            <w:pPr>
              <w:jc w:val="center"/>
              <w:rPr>
                <w:rFonts w:ascii="宋体" w:hAnsi="宋体"/>
                <w:color w:val="000000"/>
                <w:szCs w:val="21"/>
              </w:rPr>
            </w:pPr>
            <w:r>
              <w:rPr>
                <w:rFonts w:ascii="宋体" w:hAnsi="宋体" w:hint="eastAsia"/>
                <w:color w:val="000000"/>
                <w:szCs w:val="21"/>
              </w:rPr>
              <w:t>对应的原项目</w:t>
            </w:r>
          </w:p>
        </w:tc>
        <w:tc>
          <w:tcPr>
            <w:tcW w:w="1331" w:type="dxa"/>
            <w:gridSpan w:val="2"/>
            <w:tcBorders>
              <w:top w:val="single" w:sz="8" w:space="0" w:color="auto"/>
              <w:left w:val="nil"/>
              <w:bottom w:val="single" w:sz="4" w:space="0" w:color="auto"/>
              <w:right w:val="single" w:sz="4" w:space="0" w:color="auto"/>
            </w:tcBorders>
            <w:vAlign w:val="center"/>
            <w:hideMark/>
          </w:tcPr>
          <w:p w14:paraId="62834436" w14:textId="77777777" w:rsidR="00066142" w:rsidRDefault="00066142">
            <w:pPr>
              <w:jc w:val="center"/>
              <w:rPr>
                <w:rFonts w:ascii="宋体" w:hAnsi="宋体"/>
                <w:color w:val="000000"/>
                <w:szCs w:val="21"/>
              </w:rPr>
            </w:pPr>
            <w:r>
              <w:rPr>
                <w:rFonts w:ascii="宋体" w:hAnsi="宋体" w:hint="eastAsia"/>
                <w:color w:val="000000"/>
                <w:szCs w:val="21"/>
              </w:rPr>
              <w:t>变更后项目拟投入募集资金总额</w:t>
            </w:r>
          </w:p>
        </w:tc>
        <w:tc>
          <w:tcPr>
            <w:tcW w:w="1559" w:type="dxa"/>
            <w:gridSpan w:val="2"/>
            <w:tcBorders>
              <w:top w:val="single" w:sz="8" w:space="0" w:color="auto"/>
              <w:left w:val="nil"/>
              <w:bottom w:val="single" w:sz="4" w:space="0" w:color="auto"/>
              <w:right w:val="single" w:sz="4" w:space="0" w:color="auto"/>
            </w:tcBorders>
            <w:vAlign w:val="center"/>
            <w:hideMark/>
          </w:tcPr>
          <w:p w14:paraId="60DCB112" w14:textId="77777777" w:rsidR="00066142" w:rsidRDefault="00066142">
            <w:pPr>
              <w:jc w:val="center"/>
              <w:rPr>
                <w:rFonts w:ascii="宋体" w:hAnsi="宋体"/>
                <w:color w:val="000000"/>
                <w:szCs w:val="21"/>
              </w:rPr>
            </w:pPr>
            <w:r>
              <w:rPr>
                <w:rFonts w:ascii="宋体" w:hAnsi="宋体" w:hint="eastAsia"/>
                <w:color w:val="000000"/>
                <w:szCs w:val="21"/>
              </w:rPr>
              <w:t>截至期末计划累计投资金额(1)</w:t>
            </w:r>
          </w:p>
        </w:tc>
        <w:tc>
          <w:tcPr>
            <w:tcW w:w="1773" w:type="dxa"/>
            <w:gridSpan w:val="3"/>
            <w:tcBorders>
              <w:top w:val="single" w:sz="8" w:space="0" w:color="auto"/>
              <w:left w:val="nil"/>
              <w:bottom w:val="single" w:sz="4" w:space="0" w:color="auto"/>
              <w:right w:val="single" w:sz="4" w:space="0" w:color="auto"/>
            </w:tcBorders>
            <w:vAlign w:val="center"/>
            <w:hideMark/>
          </w:tcPr>
          <w:p w14:paraId="0D81D722" w14:textId="77777777" w:rsidR="00066142" w:rsidRDefault="00066142">
            <w:pPr>
              <w:jc w:val="center"/>
              <w:rPr>
                <w:rFonts w:ascii="宋体" w:hAnsi="宋体"/>
                <w:color w:val="000000"/>
                <w:szCs w:val="21"/>
              </w:rPr>
            </w:pPr>
            <w:r>
              <w:rPr>
                <w:rFonts w:ascii="宋体" w:hAnsi="宋体" w:hint="eastAsia"/>
                <w:color w:val="000000"/>
                <w:szCs w:val="21"/>
              </w:rPr>
              <w:t>本年度实际投入金额</w:t>
            </w:r>
          </w:p>
        </w:tc>
        <w:tc>
          <w:tcPr>
            <w:tcW w:w="1176" w:type="dxa"/>
            <w:tcBorders>
              <w:top w:val="single" w:sz="8" w:space="0" w:color="auto"/>
              <w:left w:val="nil"/>
              <w:bottom w:val="single" w:sz="4" w:space="0" w:color="auto"/>
              <w:right w:val="single" w:sz="4" w:space="0" w:color="auto"/>
            </w:tcBorders>
            <w:vAlign w:val="center"/>
            <w:hideMark/>
          </w:tcPr>
          <w:p w14:paraId="4926F3CA" w14:textId="77777777" w:rsidR="00066142" w:rsidRDefault="00066142">
            <w:pPr>
              <w:jc w:val="center"/>
              <w:rPr>
                <w:rFonts w:ascii="宋体" w:hAnsi="宋体"/>
                <w:color w:val="000000"/>
                <w:szCs w:val="21"/>
              </w:rPr>
            </w:pPr>
            <w:r>
              <w:rPr>
                <w:rFonts w:ascii="宋体" w:hAnsi="宋体" w:hint="eastAsia"/>
                <w:color w:val="000000"/>
                <w:szCs w:val="21"/>
              </w:rPr>
              <w:t>实际累计投入金额(2)</w:t>
            </w:r>
          </w:p>
        </w:tc>
        <w:tc>
          <w:tcPr>
            <w:tcW w:w="879" w:type="dxa"/>
            <w:tcBorders>
              <w:top w:val="single" w:sz="8" w:space="0" w:color="auto"/>
              <w:left w:val="nil"/>
              <w:bottom w:val="single" w:sz="4" w:space="0" w:color="auto"/>
              <w:right w:val="single" w:sz="4" w:space="0" w:color="auto"/>
            </w:tcBorders>
            <w:vAlign w:val="center"/>
            <w:hideMark/>
          </w:tcPr>
          <w:p w14:paraId="76636E50" w14:textId="77777777" w:rsidR="00066142" w:rsidRDefault="00066142">
            <w:pPr>
              <w:jc w:val="center"/>
              <w:rPr>
                <w:rFonts w:ascii="宋体" w:hAnsi="宋体"/>
                <w:color w:val="000000"/>
                <w:szCs w:val="21"/>
              </w:rPr>
            </w:pPr>
            <w:r>
              <w:rPr>
                <w:rFonts w:ascii="宋体" w:hAnsi="宋体" w:hint="eastAsia"/>
                <w:color w:val="000000"/>
                <w:szCs w:val="21"/>
              </w:rPr>
              <w:t>投资进度（%）(3)=(2)/(1)</w:t>
            </w:r>
          </w:p>
        </w:tc>
        <w:tc>
          <w:tcPr>
            <w:tcW w:w="1701" w:type="dxa"/>
            <w:gridSpan w:val="4"/>
            <w:tcBorders>
              <w:top w:val="single" w:sz="8" w:space="0" w:color="auto"/>
              <w:left w:val="nil"/>
              <w:bottom w:val="single" w:sz="4" w:space="0" w:color="auto"/>
              <w:right w:val="single" w:sz="4" w:space="0" w:color="auto"/>
            </w:tcBorders>
            <w:vAlign w:val="center"/>
            <w:hideMark/>
          </w:tcPr>
          <w:p w14:paraId="5F8BDC69" w14:textId="77777777" w:rsidR="00066142" w:rsidRDefault="00066142">
            <w:pPr>
              <w:jc w:val="center"/>
              <w:rPr>
                <w:rFonts w:ascii="宋体" w:hAnsi="宋体"/>
                <w:color w:val="000000"/>
                <w:szCs w:val="21"/>
              </w:rPr>
            </w:pPr>
            <w:r>
              <w:rPr>
                <w:rFonts w:ascii="宋体" w:hAnsi="宋体" w:hint="eastAsia"/>
                <w:color w:val="000000"/>
                <w:szCs w:val="21"/>
              </w:rPr>
              <w:t>项目达到预定可使用状态日期</w:t>
            </w:r>
          </w:p>
        </w:tc>
        <w:tc>
          <w:tcPr>
            <w:tcW w:w="1262" w:type="dxa"/>
            <w:gridSpan w:val="3"/>
            <w:tcBorders>
              <w:top w:val="nil"/>
              <w:left w:val="nil"/>
              <w:bottom w:val="single" w:sz="4" w:space="0" w:color="auto"/>
              <w:right w:val="single" w:sz="4" w:space="0" w:color="auto"/>
            </w:tcBorders>
            <w:vAlign w:val="center"/>
            <w:hideMark/>
          </w:tcPr>
          <w:p w14:paraId="139390F9" w14:textId="77777777" w:rsidR="00066142" w:rsidRDefault="00066142">
            <w:pPr>
              <w:jc w:val="center"/>
              <w:rPr>
                <w:rFonts w:ascii="宋体" w:hAnsi="宋体"/>
                <w:color w:val="000000"/>
                <w:szCs w:val="21"/>
              </w:rPr>
            </w:pPr>
            <w:r>
              <w:rPr>
                <w:rFonts w:ascii="宋体" w:hAnsi="宋体" w:hint="eastAsia"/>
                <w:color w:val="000000"/>
                <w:szCs w:val="21"/>
              </w:rPr>
              <w:t>本年度实现的效益</w:t>
            </w:r>
          </w:p>
        </w:tc>
        <w:tc>
          <w:tcPr>
            <w:tcW w:w="1006" w:type="dxa"/>
            <w:gridSpan w:val="2"/>
            <w:tcBorders>
              <w:top w:val="nil"/>
              <w:left w:val="nil"/>
              <w:bottom w:val="single" w:sz="4" w:space="0" w:color="auto"/>
              <w:right w:val="single" w:sz="4" w:space="0" w:color="auto"/>
            </w:tcBorders>
            <w:vAlign w:val="center"/>
            <w:hideMark/>
          </w:tcPr>
          <w:p w14:paraId="1F2D585B" w14:textId="77777777" w:rsidR="00066142" w:rsidRDefault="00066142">
            <w:pPr>
              <w:jc w:val="center"/>
              <w:rPr>
                <w:rFonts w:ascii="宋体" w:hAnsi="宋体"/>
                <w:color w:val="000000"/>
                <w:szCs w:val="21"/>
              </w:rPr>
            </w:pPr>
            <w:r>
              <w:rPr>
                <w:rFonts w:ascii="宋体" w:hAnsi="宋体" w:hint="eastAsia"/>
                <w:color w:val="000000"/>
                <w:szCs w:val="21"/>
              </w:rPr>
              <w:t>是否达到预计效益</w:t>
            </w:r>
          </w:p>
        </w:tc>
        <w:tc>
          <w:tcPr>
            <w:tcW w:w="1654" w:type="dxa"/>
            <w:gridSpan w:val="3"/>
            <w:tcBorders>
              <w:top w:val="nil"/>
              <w:left w:val="nil"/>
              <w:bottom w:val="single" w:sz="4" w:space="0" w:color="auto"/>
              <w:right w:val="single" w:sz="8" w:space="0" w:color="auto"/>
            </w:tcBorders>
            <w:vAlign w:val="center"/>
            <w:hideMark/>
          </w:tcPr>
          <w:p w14:paraId="29A361DE" w14:textId="77777777" w:rsidR="00066142" w:rsidRDefault="00066142">
            <w:pPr>
              <w:jc w:val="center"/>
              <w:rPr>
                <w:rFonts w:ascii="宋体" w:hAnsi="宋体"/>
                <w:color w:val="000000"/>
                <w:szCs w:val="21"/>
              </w:rPr>
            </w:pPr>
            <w:r>
              <w:rPr>
                <w:rFonts w:ascii="宋体" w:hAnsi="宋体" w:hint="eastAsia"/>
                <w:color w:val="000000"/>
                <w:szCs w:val="21"/>
              </w:rPr>
              <w:t>变更后的项目可行性是否发生重大变化</w:t>
            </w:r>
          </w:p>
        </w:tc>
      </w:tr>
      <w:tr w:rsidR="00066142" w14:paraId="729B2857" w14:textId="77777777" w:rsidTr="00066142">
        <w:trPr>
          <w:trHeight w:val="353"/>
        </w:trPr>
        <w:tc>
          <w:tcPr>
            <w:tcW w:w="1934" w:type="dxa"/>
            <w:tcBorders>
              <w:top w:val="nil"/>
              <w:left w:val="single" w:sz="8" w:space="0" w:color="auto"/>
              <w:bottom w:val="single" w:sz="4" w:space="0" w:color="auto"/>
              <w:right w:val="single" w:sz="4" w:space="0" w:color="auto"/>
            </w:tcBorders>
            <w:vAlign w:val="center"/>
            <w:hideMark/>
          </w:tcPr>
          <w:p w14:paraId="0036133C" w14:textId="77777777" w:rsidR="00066142" w:rsidRDefault="00066142">
            <w:pPr>
              <w:jc w:val="center"/>
              <w:rPr>
                <w:rFonts w:ascii="宋体" w:hAnsi="宋体"/>
                <w:color w:val="000000"/>
                <w:szCs w:val="21"/>
              </w:rPr>
            </w:pPr>
            <w:r>
              <w:rPr>
                <w:rFonts w:ascii="宋体" w:hAnsi="宋体" w:hint="eastAsia"/>
                <w:color w:val="000000"/>
                <w:szCs w:val="21"/>
              </w:rPr>
              <w:t>汽车液力变矩器建设项目</w:t>
            </w:r>
          </w:p>
        </w:tc>
        <w:tc>
          <w:tcPr>
            <w:tcW w:w="1426" w:type="dxa"/>
            <w:gridSpan w:val="2"/>
            <w:vMerge w:val="restart"/>
            <w:tcBorders>
              <w:top w:val="nil"/>
              <w:left w:val="single" w:sz="4" w:space="0" w:color="auto"/>
              <w:bottom w:val="single" w:sz="4" w:space="0" w:color="000000"/>
              <w:right w:val="single" w:sz="4" w:space="0" w:color="auto"/>
            </w:tcBorders>
            <w:vAlign w:val="center"/>
            <w:hideMark/>
          </w:tcPr>
          <w:p w14:paraId="358CA0AA" w14:textId="77777777" w:rsidR="00066142" w:rsidRDefault="00066142">
            <w:pPr>
              <w:jc w:val="center"/>
              <w:rPr>
                <w:rFonts w:ascii="宋体" w:hAnsi="宋体"/>
                <w:color w:val="000000"/>
                <w:szCs w:val="21"/>
              </w:rPr>
            </w:pPr>
            <w:r>
              <w:rPr>
                <w:rFonts w:ascii="宋体" w:hAnsi="宋体" w:hint="eastAsia"/>
                <w:color w:val="000000"/>
                <w:szCs w:val="21"/>
              </w:rPr>
              <w:t>汽车液力变矩器建设项目</w:t>
            </w:r>
          </w:p>
        </w:tc>
        <w:tc>
          <w:tcPr>
            <w:tcW w:w="1331" w:type="dxa"/>
            <w:gridSpan w:val="2"/>
            <w:tcBorders>
              <w:top w:val="nil"/>
              <w:left w:val="nil"/>
              <w:bottom w:val="single" w:sz="4" w:space="0" w:color="auto"/>
              <w:right w:val="single" w:sz="4" w:space="0" w:color="auto"/>
            </w:tcBorders>
            <w:vAlign w:val="center"/>
            <w:hideMark/>
          </w:tcPr>
          <w:p w14:paraId="6EFC789E" w14:textId="77777777" w:rsidR="00066142" w:rsidRDefault="00066142">
            <w:pPr>
              <w:jc w:val="center"/>
              <w:rPr>
                <w:rFonts w:ascii="宋体" w:hAnsi="宋体"/>
                <w:color w:val="000000"/>
                <w:szCs w:val="21"/>
              </w:rPr>
            </w:pPr>
            <w:r>
              <w:rPr>
                <w:rFonts w:ascii="宋体" w:hAnsi="宋体" w:hint="eastAsia"/>
                <w:color w:val="000000"/>
                <w:szCs w:val="21"/>
              </w:rPr>
              <w:t>45,157.92</w:t>
            </w:r>
          </w:p>
        </w:tc>
        <w:tc>
          <w:tcPr>
            <w:tcW w:w="1559" w:type="dxa"/>
            <w:gridSpan w:val="2"/>
            <w:tcBorders>
              <w:top w:val="nil"/>
              <w:left w:val="nil"/>
              <w:bottom w:val="single" w:sz="4" w:space="0" w:color="auto"/>
              <w:right w:val="single" w:sz="4" w:space="0" w:color="auto"/>
            </w:tcBorders>
            <w:vAlign w:val="center"/>
            <w:hideMark/>
          </w:tcPr>
          <w:p w14:paraId="66AC2BF9" w14:textId="77777777" w:rsidR="00066142" w:rsidRDefault="00066142">
            <w:pPr>
              <w:jc w:val="center"/>
              <w:rPr>
                <w:rFonts w:ascii="宋体" w:hAnsi="宋体"/>
                <w:color w:val="000000"/>
                <w:szCs w:val="21"/>
              </w:rPr>
            </w:pPr>
            <w:r>
              <w:rPr>
                <w:rFonts w:ascii="宋体" w:hAnsi="宋体" w:hint="eastAsia"/>
                <w:color w:val="000000"/>
                <w:szCs w:val="21"/>
              </w:rPr>
              <w:t>45,157.92</w:t>
            </w:r>
          </w:p>
        </w:tc>
        <w:tc>
          <w:tcPr>
            <w:tcW w:w="1773" w:type="dxa"/>
            <w:gridSpan w:val="3"/>
            <w:tcBorders>
              <w:top w:val="nil"/>
              <w:left w:val="nil"/>
              <w:bottom w:val="single" w:sz="4" w:space="0" w:color="auto"/>
              <w:right w:val="single" w:sz="4" w:space="0" w:color="auto"/>
            </w:tcBorders>
            <w:vAlign w:val="center"/>
            <w:hideMark/>
          </w:tcPr>
          <w:p w14:paraId="761FE2EB" w14:textId="77777777" w:rsidR="00066142" w:rsidRDefault="00066142">
            <w:pPr>
              <w:widowControl/>
              <w:jc w:val="center"/>
              <w:rPr>
                <w:rFonts w:ascii="宋体" w:hAnsi="宋体"/>
                <w:color w:val="000000"/>
                <w:szCs w:val="21"/>
              </w:rPr>
            </w:pPr>
            <w:r>
              <w:rPr>
                <w:rFonts w:ascii="宋体" w:hAnsi="宋体" w:cs="Arial" w:hint="eastAsia"/>
                <w:color w:val="000000"/>
                <w:szCs w:val="21"/>
              </w:rPr>
              <w:t>5,239.22</w:t>
            </w:r>
          </w:p>
        </w:tc>
        <w:tc>
          <w:tcPr>
            <w:tcW w:w="1176" w:type="dxa"/>
            <w:tcBorders>
              <w:top w:val="nil"/>
              <w:left w:val="nil"/>
              <w:bottom w:val="single" w:sz="4" w:space="0" w:color="auto"/>
              <w:right w:val="single" w:sz="4" w:space="0" w:color="auto"/>
            </w:tcBorders>
            <w:vAlign w:val="center"/>
            <w:hideMark/>
          </w:tcPr>
          <w:p w14:paraId="40514E0D" w14:textId="77777777" w:rsidR="00066142" w:rsidRDefault="00066142">
            <w:pPr>
              <w:jc w:val="center"/>
              <w:rPr>
                <w:rFonts w:ascii="宋体" w:hAnsi="宋体"/>
                <w:color w:val="000000"/>
                <w:szCs w:val="21"/>
              </w:rPr>
            </w:pPr>
            <w:r>
              <w:rPr>
                <w:rFonts w:ascii="宋体" w:hAnsi="宋体" w:hint="eastAsia"/>
                <w:color w:val="000000"/>
                <w:szCs w:val="21"/>
              </w:rPr>
              <w:t>40,023.64</w:t>
            </w:r>
          </w:p>
        </w:tc>
        <w:tc>
          <w:tcPr>
            <w:tcW w:w="879" w:type="dxa"/>
            <w:tcBorders>
              <w:top w:val="nil"/>
              <w:left w:val="nil"/>
              <w:bottom w:val="single" w:sz="4" w:space="0" w:color="auto"/>
              <w:right w:val="single" w:sz="4" w:space="0" w:color="auto"/>
            </w:tcBorders>
            <w:vAlign w:val="center"/>
            <w:hideMark/>
          </w:tcPr>
          <w:p w14:paraId="0A2C2C28" w14:textId="77777777" w:rsidR="00066142" w:rsidRDefault="00066142">
            <w:pPr>
              <w:jc w:val="center"/>
              <w:rPr>
                <w:rFonts w:ascii="宋体" w:hAnsi="宋体"/>
                <w:color w:val="000000"/>
                <w:szCs w:val="21"/>
              </w:rPr>
            </w:pPr>
            <w:r>
              <w:rPr>
                <w:rFonts w:ascii="宋体" w:hAnsi="宋体" w:hint="eastAsia"/>
                <w:color w:val="000000"/>
                <w:szCs w:val="21"/>
              </w:rPr>
              <w:t>88.63%</w:t>
            </w:r>
          </w:p>
        </w:tc>
        <w:tc>
          <w:tcPr>
            <w:tcW w:w="1701" w:type="dxa"/>
            <w:gridSpan w:val="4"/>
            <w:tcBorders>
              <w:top w:val="nil"/>
              <w:left w:val="nil"/>
              <w:bottom w:val="single" w:sz="4" w:space="0" w:color="auto"/>
              <w:right w:val="single" w:sz="4" w:space="0" w:color="auto"/>
            </w:tcBorders>
            <w:vAlign w:val="center"/>
            <w:hideMark/>
          </w:tcPr>
          <w:p w14:paraId="5BA6AF6E" w14:textId="77777777" w:rsidR="00066142" w:rsidRDefault="00066142">
            <w:pPr>
              <w:jc w:val="center"/>
              <w:rPr>
                <w:rFonts w:ascii="宋体" w:hAnsi="宋体"/>
                <w:color w:val="000000"/>
                <w:szCs w:val="21"/>
              </w:rPr>
            </w:pPr>
            <w:r>
              <w:rPr>
                <w:rFonts w:ascii="宋体" w:hAnsi="宋体" w:hint="eastAsia"/>
                <w:color w:val="000000"/>
                <w:szCs w:val="21"/>
              </w:rPr>
              <w:t>2021年</w:t>
            </w:r>
          </w:p>
        </w:tc>
        <w:tc>
          <w:tcPr>
            <w:tcW w:w="1262" w:type="dxa"/>
            <w:gridSpan w:val="3"/>
            <w:tcBorders>
              <w:top w:val="nil"/>
              <w:left w:val="nil"/>
              <w:bottom w:val="single" w:sz="4" w:space="0" w:color="auto"/>
              <w:right w:val="single" w:sz="4" w:space="0" w:color="auto"/>
            </w:tcBorders>
            <w:vAlign w:val="center"/>
            <w:hideMark/>
          </w:tcPr>
          <w:p w14:paraId="24A4F1F1" w14:textId="77777777" w:rsidR="00066142" w:rsidRDefault="00066142">
            <w:pPr>
              <w:jc w:val="center"/>
              <w:rPr>
                <w:rFonts w:ascii="宋体" w:hAnsi="宋体"/>
                <w:color w:val="000000"/>
                <w:szCs w:val="21"/>
              </w:rPr>
            </w:pPr>
            <w:r>
              <w:rPr>
                <w:rFonts w:ascii="宋体" w:hAnsi="宋体" w:hint="eastAsia"/>
                <w:color w:val="000000"/>
                <w:szCs w:val="21"/>
              </w:rPr>
              <w:t>-1,265.14</w:t>
            </w:r>
          </w:p>
        </w:tc>
        <w:tc>
          <w:tcPr>
            <w:tcW w:w="1006" w:type="dxa"/>
            <w:gridSpan w:val="2"/>
            <w:tcBorders>
              <w:top w:val="nil"/>
              <w:left w:val="nil"/>
              <w:bottom w:val="single" w:sz="4" w:space="0" w:color="auto"/>
              <w:right w:val="single" w:sz="4" w:space="0" w:color="auto"/>
            </w:tcBorders>
            <w:vAlign w:val="center"/>
            <w:hideMark/>
          </w:tcPr>
          <w:p w14:paraId="66E2825D" w14:textId="77777777" w:rsidR="00066142" w:rsidRDefault="00066142">
            <w:pPr>
              <w:jc w:val="center"/>
              <w:rPr>
                <w:rFonts w:ascii="宋体" w:hAnsi="宋体"/>
                <w:color w:val="000000"/>
                <w:szCs w:val="21"/>
              </w:rPr>
            </w:pPr>
            <w:r>
              <w:rPr>
                <w:rFonts w:ascii="宋体" w:hAnsi="宋体" w:hint="eastAsia"/>
                <w:color w:val="000000"/>
                <w:szCs w:val="21"/>
              </w:rPr>
              <w:t>否</w:t>
            </w:r>
          </w:p>
        </w:tc>
        <w:tc>
          <w:tcPr>
            <w:tcW w:w="1654" w:type="dxa"/>
            <w:gridSpan w:val="3"/>
            <w:tcBorders>
              <w:top w:val="nil"/>
              <w:left w:val="nil"/>
              <w:bottom w:val="single" w:sz="4" w:space="0" w:color="auto"/>
              <w:right w:val="single" w:sz="8" w:space="0" w:color="auto"/>
            </w:tcBorders>
            <w:vAlign w:val="center"/>
            <w:hideMark/>
          </w:tcPr>
          <w:p w14:paraId="1AB0257F" w14:textId="77777777" w:rsidR="00066142" w:rsidRDefault="00066142">
            <w:pPr>
              <w:jc w:val="center"/>
              <w:rPr>
                <w:rFonts w:ascii="宋体" w:hAnsi="宋体"/>
                <w:color w:val="000000"/>
                <w:szCs w:val="21"/>
              </w:rPr>
            </w:pPr>
            <w:r>
              <w:rPr>
                <w:rFonts w:ascii="宋体" w:hAnsi="宋体" w:hint="eastAsia"/>
                <w:color w:val="000000"/>
                <w:szCs w:val="21"/>
              </w:rPr>
              <w:t>否</w:t>
            </w:r>
          </w:p>
        </w:tc>
      </w:tr>
      <w:tr w:rsidR="00066142" w14:paraId="5BFC09C6" w14:textId="77777777" w:rsidTr="00066142">
        <w:trPr>
          <w:trHeight w:val="450"/>
        </w:trPr>
        <w:tc>
          <w:tcPr>
            <w:tcW w:w="1934" w:type="dxa"/>
            <w:tcBorders>
              <w:top w:val="nil"/>
              <w:left w:val="single" w:sz="8" w:space="0" w:color="auto"/>
              <w:bottom w:val="single" w:sz="4" w:space="0" w:color="auto"/>
              <w:right w:val="single" w:sz="4" w:space="0" w:color="auto"/>
            </w:tcBorders>
            <w:vAlign w:val="center"/>
            <w:hideMark/>
          </w:tcPr>
          <w:p w14:paraId="45677C14" w14:textId="77777777" w:rsidR="00066142" w:rsidRDefault="00066142">
            <w:pPr>
              <w:jc w:val="center"/>
              <w:rPr>
                <w:rFonts w:ascii="宋体" w:hAnsi="宋体"/>
                <w:color w:val="000000"/>
                <w:szCs w:val="21"/>
              </w:rPr>
            </w:pPr>
            <w:r>
              <w:rPr>
                <w:rFonts w:ascii="宋体" w:hAnsi="宋体" w:hint="eastAsia"/>
                <w:color w:val="000000"/>
                <w:szCs w:val="21"/>
              </w:rPr>
              <w:t>永久补充流动资金(含利息）</w:t>
            </w:r>
          </w:p>
        </w:tc>
        <w:tc>
          <w:tcPr>
            <w:tcW w:w="600" w:type="dxa"/>
            <w:gridSpan w:val="2"/>
            <w:vMerge/>
            <w:tcBorders>
              <w:top w:val="nil"/>
              <w:left w:val="single" w:sz="8" w:space="0" w:color="auto"/>
              <w:bottom w:val="single" w:sz="4" w:space="0" w:color="auto"/>
              <w:right w:val="single" w:sz="4" w:space="0" w:color="auto"/>
            </w:tcBorders>
            <w:vAlign w:val="center"/>
            <w:hideMark/>
          </w:tcPr>
          <w:p w14:paraId="2E0FE974" w14:textId="77777777" w:rsidR="00066142" w:rsidRDefault="00066142">
            <w:pPr>
              <w:widowControl/>
              <w:jc w:val="left"/>
              <w:rPr>
                <w:rFonts w:ascii="宋体" w:hAnsi="宋体"/>
                <w:color w:val="000000"/>
                <w:szCs w:val="21"/>
              </w:rPr>
            </w:pPr>
          </w:p>
        </w:tc>
        <w:tc>
          <w:tcPr>
            <w:tcW w:w="1331" w:type="dxa"/>
            <w:gridSpan w:val="2"/>
            <w:tcBorders>
              <w:top w:val="nil"/>
              <w:left w:val="nil"/>
              <w:bottom w:val="single" w:sz="4" w:space="0" w:color="auto"/>
              <w:right w:val="single" w:sz="4" w:space="0" w:color="auto"/>
            </w:tcBorders>
            <w:vAlign w:val="center"/>
            <w:hideMark/>
          </w:tcPr>
          <w:p w14:paraId="337BC6FB" w14:textId="77777777" w:rsidR="00066142" w:rsidRDefault="00066142">
            <w:pPr>
              <w:jc w:val="center"/>
              <w:rPr>
                <w:rFonts w:ascii="宋体" w:hAnsi="宋体"/>
                <w:color w:val="000000"/>
                <w:szCs w:val="21"/>
              </w:rPr>
            </w:pPr>
            <w:r>
              <w:rPr>
                <w:rFonts w:ascii="宋体" w:hAnsi="宋体" w:hint="eastAsia"/>
                <w:color w:val="000000"/>
                <w:szCs w:val="21"/>
              </w:rPr>
              <w:t xml:space="preserve">64,874.56 </w:t>
            </w:r>
          </w:p>
        </w:tc>
        <w:tc>
          <w:tcPr>
            <w:tcW w:w="1559" w:type="dxa"/>
            <w:gridSpan w:val="2"/>
            <w:tcBorders>
              <w:top w:val="nil"/>
              <w:left w:val="nil"/>
              <w:bottom w:val="single" w:sz="4" w:space="0" w:color="auto"/>
              <w:right w:val="single" w:sz="4" w:space="0" w:color="auto"/>
            </w:tcBorders>
            <w:vAlign w:val="center"/>
            <w:hideMark/>
          </w:tcPr>
          <w:p w14:paraId="2E8D5BBC" w14:textId="77777777" w:rsidR="00066142" w:rsidRDefault="00066142">
            <w:pPr>
              <w:jc w:val="center"/>
              <w:rPr>
                <w:rFonts w:ascii="宋体" w:hAnsi="宋体"/>
                <w:color w:val="000000"/>
                <w:szCs w:val="21"/>
              </w:rPr>
            </w:pPr>
            <w:r>
              <w:rPr>
                <w:rFonts w:ascii="宋体" w:hAnsi="宋体" w:hint="eastAsia"/>
                <w:color w:val="000000"/>
                <w:szCs w:val="21"/>
              </w:rPr>
              <w:t>64,874.56</w:t>
            </w:r>
          </w:p>
        </w:tc>
        <w:tc>
          <w:tcPr>
            <w:tcW w:w="1773" w:type="dxa"/>
            <w:gridSpan w:val="3"/>
            <w:tcBorders>
              <w:top w:val="nil"/>
              <w:left w:val="nil"/>
              <w:bottom w:val="single" w:sz="4" w:space="0" w:color="auto"/>
              <w:right w:val="single" w:sz="4" w:space="0" w:color="auto"/>
            </w:tcBorders>
            <w:vAlign w:val="center"/>
            <w:hideMark/>
          </w:tcPr>
          <w:p w14:paraId="0004F8E4" w14:textId="77777777" w:rsidR="00066142" w:rsidRDefault="00066142">
            <w:pPr>
              <w:widowControl/>
              <w:jc w:val="center"/>
              <w:rPr>
                <w:rFonts w:ascii="宋体" w:hAnsi="宋体" w:cs="Arial"/>
                <w:color w:val="000000"/>
                <w:szCs w:val="21"/>
              </w:rPr>
            </w:pPr>
            <w:r>
              <w:rPr>
                <w:rFonts w:ascii="宋体" w:hAnsi="宋体" w:cs="Arial" w:hint="eastAsia"/>
                <w:color w:val="000000"/>
                <w:szCs w:val="21"/>
              </w:rPr>
              <w:t xml:space="preserve">14,456.56 </w:t>
            </w:r>
          </w:p>
        </w:tc>
        <w:tc>
          <w:tcPr>
            <w:tcW w:w="1176" w:type="dxa"/>
            <w:tcBorders>
              <w:top w:val="nil"/>
              <w:left w:val="nil"/>
              <w:bottom w:val="single" w:sz="4" w:space="0" w:color="auto"/>
              <w:right w:val="single" w:sz="4" w:space="0" w:color="auto"/>
            </w:tcBorders>
            <w:vAlign w:val="center"/>
            <w:hideMark/>
          </w:tcPr>
          <w:p w14:paraId="59CD0224" w14:textId="77777777" w:rsidR="00066142" w:rsidRDefault="00066142">
            <w:pPr>
              <w:jc w:val="center"/>
              <w:rPr>
                <w:rFonts w:ascii="宋体" w:hAnsi="宋体"/>
                <w:color w:val="000000"/>
                <w:szCs w:val="21"/>
              </w:rPr>
            </w:pPr>
            <w:r>
              <w:rPr>
                <w:rFonts w:ascii="宋体" w:hAnsi="宋体" w:hint="eastAsia"/>
                <w:color w:val="000000"/>
                <w:szCs w:val="21"/>
              </w:rPr>
              <w:t xml:space="preserve">64,874.56 </w:t>
            </w:r>
          </w:p>
        </w:tc>
        <w:tc>
          <w:tcPr>
            <w:tcW w:w="879" w:type="dxa"/>
            <w:tcBorders>
              <w:top w:val="nil"/>
              <w:left w:val="nil"/>
              <w:bottom w:val="single" w:sz="4" w:space="0" w:color="auto"/>
              <w:right w:val="single" w:sz="4" w:space="0" w:color="auto"/>
            </w:tcBorders>
            <w:vAlign w:val="center"/>
            <w:hideMark/>
          </w:tcPr>
          <w:p w14:paraId="28D80B94" w14:textId="77777777" w:rsidR="00066142" w:rsidRDefault="00066142">
            <w:pPr>
              <w:jc w:val="center"/>
              <w:rPr>
                <w:rFonts w:ascii="宋体" w:hAnsi="宋体"/>
                <w:color w:val="000000"/>
                <w:szCs w:val="21"/>
              </w:rPr>
            </w:pPr>
            <w:r>
              <w:rPr>
                <w:rFonts w:ascii="宋体" w:hAnsi="宋体" w:hint="eastAsia"/>
                <w:color w:val="000000"/>
                <w:szCs w:val="21"/>
              </w:rPr>
              <w:t>100.00%</w:t>
            </w:r>
          </w:p>
        </w:tc>
        <w:tc>
          <w:tcPr>
            <w:tcW w:w="1701" w:type="dxa"/>
            <w:gridSpan w:val="4"/>
            <w:tcBorders>
              <w:top w:val="nil"/>
              <w:left w:val="nil"/>
              <w:bottom w:val="single" w:sz="4" w:space="0" w:color="auto"/>
              <w:right w:val="single" w:sz="4" w:space="0" w:color="auto"/>
            </w:tcBorders>
            <w:vAlign w:val="center"/>
          </w:tcPr>
          <w:p w14:paraId="0340EEB5" w14:textId="77777777" w:rsidR="00066142" w:rsidRDefault="00066142">
            <w:pPr>
              <w:jc w:val="center"/>
              <w:rPr>
                <w:rFonts w:ascii="宋体" w:hAnsi="宋体"/>
                <w:color w:val="000000"/>
                <w:szCs w:val="21"/>
              </w:rPr>
            </w:pPr>
          </w:p>
        </w:tc>
        <w:tc>
          <w:tcPr>
            <w:tcW w:w="1262" w:type="dxa"/>
            <w:gridSpan w:val="3"/>
            <w:tcBorders>
              <w:top w:val="nil"/>
              <w:left w:val="nil"/>
              <w:bottom w:val="single" w:sz="4" w:space="0" w:color="auto"/>
              <w:right w:val="single" w:sz="4" w:space="0" w:color="auto"/>
            </w:tcBorders>
            <w:vAlign w:val="center"/>
          </w:tcPr>
          <w:p w14:paraId="6D12433C" w14:textId="77777777" w:rsidR="00066142" w:rsidRDefault="00066142">
            <w:pPr>
              <w:rPr>
                <w:rFonts w:ascii="宋体" w:hAnsi="宋体"/>
                <w:color w:val="000000"/>
                <w:szCs w:val="21"/>
              </w:rPr>
            </w:pPr>
          </w:p>
        </w:tc>
        <w:tc>
          <w:tcPr>
            <w:tcW w:w="1006" w:type="dxa"/>
            <w:gridSpan w:val="2"/>
            <w:tcBorders>
              <w:top w:val="nil"/>
              <w:left w:val="nil"/>
              <w:bottom w:val="single" w:sz="4" w:space="0" w:color="auto"/>
              <w:right w:val="single" w:sz="4" w:space="0" w:color="auto"/>
            </w:tcBorders>
            <w:vAlign w:val="center"/>
          </w:tcPr>
          <w:p w14:paraId="70AA3874" w14:textId="77777777" w:rsidR="00066142" w:rsidRDefault="00066142">
            <w:pPr>
              <w:jc w:val="center"/>
              <w:rPr>
                <w:rFonts w:ascii="宋体" w:hAnsi="宋体"/>
                <w:color w:val="000000"/>
                <w:szCs w:val="21"/>
              </w:rPr>
            </w:pPr>
          </w:p>
        </w:tc>
        <w:tc>
          <w:tcPr>
            <w:tcW w:w="1654" w:type="dxa"/>
            <w:gridSpan w:val="3"/>
            <w:tcBorders>
              <w:top w:val="nil"/>
              <w:left w:val="nil"/>
              <w:bottom w:val="single" w:sz="4" w:space="0" w:color="auto"/>
              <w:right w:val="single" w:sz="8" w:space="0" w:color="auto"/>
            </w:tcBorders>
            <w:vAlign w:val="center"/>
          </w:tcPr>
          <w:p w14:paraId="4D449B06" w14:textId="77777777" w:rsidR="00066142" w:rsidRDefault="00066142">
            <w:pPr>
              <w:jc w:val="center"/>
              <w:rPr>
                <w:rFonts w:ascii="宋体" w:hAnsi="宋体"/>
                <w:color w:val="000000"/>
                <w:szCs w:val="21"/>
              </w:rPr>
            </w:pPr>
          </w:p>
        </w:tc>
      </w:tr>
      <w:tr w:rsidR="00066142" w14:paraId="4D9D9E2F" w14:textId="77777777" w:rsidTr="00066142">
        <w:trPr>
          <w:trHeight w:val="450"/>
        </w:trPr>
        <w:tc>
          <w:tcPr>
            <w:tcW w:w="1934" w:type="dxa"/>
            <w:tcBorders>
              <w:top w:val="nil"/>
              <w:left w:val="single" w:sz="8" w:space="0" w:color="auto"/>
              <w:bottom w:val="single" w:sz="4" w:space="0" w:color="auto"/>
              <w:right w:val="single" w:sz="4" w:space="0" w:color="auto"/>
            </w:tcBorders>
            <w:vAlign w:val="center"/>
            <w:hideMark/>
          </w:tcPr>
          <w:p w14:paraId="6F0FCD8A" w14:textId="77777777" w:rsidR="00066142" w:rsidRDefault="00066142">
            <w:pPr>
              <w:jc w:val="center"/>
              <w:rPr>
                <w:rFonts w:ascii="宋体" w:hAnsi="宋体"/>
                <w:color w:val="000000"/>
                <w:szCs w:val="21"/>
              </w:rPr>
            </w:pPr>
            <w:r>
              <w:rPr>
                <w:rFonts w:ascii="宋体" w:hAnsi="宋体" w:hint="eastAsia"/>
                <w:color w:val="000000"/>
                <w:szCs w:val="21"/>
              </w:rPr>
              <w:t>合计</w:t>
            </w:r>
          </w:p>
        </w:tc>
        <w:tc>
          <w:tcPr>
            <w:tcW w:w="1426" w:type="dxa"/>
            <w:gridSpan w:val="2"/>
            <w:tcBorders>
              <w:top w:val="nil"/>
              <w:left w:val="nil"/>
              <w:bottom w:val="single" w:sz="4" w:space="0" w:color="auto"/>
              <w:right w:val="single" w:sz="4" w:space="0" w:color="auto"/>
            </w:tcBorders>
            <w:vAlign w:val="center"/>
            <w:hideMark/>
          </w:tcPr>
          <w:p w14:paraId="4C4D1474" w14:textId="77777777" w:rsidR="00066142" w:rsidRDefault="00066142">
            <w:pPr>
              <w:jc w:val="center"/>
              <w:rPr>
                <w:rFonts w:ascii="宋体" w:hAnsi="宋体"/>
                <w:color w:val="000000"/>
                <w:szCs w:val="21"/>
              </w:rPr>
            </w:pPr>
            <w:r>
              <w:rPr>
                <w:rFonts w:ascii="宋体" w:hAnsi="宋体" w:hint="eastAsia"/>
                <w:color w:val="000000"/>
                <w:szCs w:val="21"/>
              </w:rPr>
              <w:t>-</w:t>
            </w:r>
          </w:p>
        </w:tc>
        <w:tc>
          <w:tcPr>
            <w:tcW w:w="1331" w:type="dxa"/>
            <w:gridSpan w:val="2"/>
            <w:tcBorders>
              <w:top w:val="nil"/>
              <w:left w:val="nil"/>
              <w:bottom w:val="single" w:sz="4" w:space="0" w:color="auto"/>
              <w:right w:val="single" w:sz="4" w:space="0" w:color="auto"/>
            </w:tcBorders>
            <w:vAlign w:val="center"/>
            <w:hideMark/>
          </w:tcPr>
          <w:p w14:paraId="44168094" w14:textId="77777777" w:rsidR="00066142" w:rsidRDefault="00066142">
            <w:pPr>
              <w:rPr>
                <w:rFonts w:ascii="宋体" w:hAnsi="宋体"/>
                <w:color w:val="000000"/>
                <w:szCs w:val="21"/>
              </w:rPr>
            </w:pPr>
            <w:r>
              <w:rPr>
                <w:rFonts w:ascii="宋体" w:hAnsi="宋体" w:hint="eastAsia"/>
                <w:color w:val="000000"/>
                <w:szCs w:val="21"/>
              </w:rPr>
              <w:t xml:space="preserve">110,032.48 </w:t>
            </w:r>
          </w:p>
        </w:tc>
        <w:tc>
          <w:tcPr>
            <w:tcW w:w="1559" w:type="dxa"/>
            <w:gridSpan w:val="2"/>
            <w:tcBorders>
              <w:top w:val="nil"/>
              <w:left w:val="nil"/>
              <w:bottom w:val="single" w:sz="4" w:space="0" w:color="auto"/>
              <w:right w:val="single" w:sz="4" w:space="0" w:color="auto"/>
            </w:tcBorders>
            <w:vAlign w:val="center"/>
            <w:hideMark/>
          </w:tcPr>
          <w:p w14:paraId="2E4F90D2" w14:textId="77777777" w:rsidR="00066142" w:rsidRDefault="00066142">
            <w:pPr>
              <w:jc w:val="center"/>
              <w:rPr>
                <w:rFonts w:ascii="宋体" w:hAnsi="宋体"/>
                <w:color w:val="000000"/>
                <w:szCs w:val="21"/>
              </w:rPr>
            </w:pPr>
            <w:r>
              <w:rPr>
                <w:rFonts w:ascii="宋体" w:hAnsi="宋体" w:hint="eastAsia"/>
                <w:color w:val="000000"/>
                <w:szCs w:val="21"/>
              </w:rPr>
              <w:t xml:space="preserve">110,032.48 </w:t>
            </w:r>
          </w:p>
        </w:tc>
        <w:tc>
          <w:tcPr>
            <w:tcW w:w="1773" w:type="dxa"/>
            <w:gridSpan w:val="3"/>
            <w:tcBorders>
              <w:top w:val="nil"/>
              <w:left w:val="nil"/>
              <w:bottom w:val="single" w:sz="4" w:space="0" w:color="auto"/>
              <w:right w:val="single" w:sz="4" w:space="0" w:color="auto"/>
            </w:tcBorders>
            <w:vAlign w:val="center"/>
            <w:hideMark/>
          </w:tcPr>
          <w:p w14:paraId="3D73A713" w14:textId="77777777" w:rsidR="00066142" w:rsidRDefault="00066142">
            <w:pPr>
              <w:jc w:val="center"/>
              <w:rPr>
                <w:rFonts w:ascii="宋体" w:hAnsi="宋体"/>
                <w:color w:val="000000"/>
                <w:szCs w:val="21"/>
              </w:rPr>
            </w:pPr>
            <w:r>
              <w:rPr>
                <w:rFonts w:ascii="宋体" w:hAnsi="宋体" w:hint="eastAsia"/>
                <w:color w:val="000000"/>
                <w:szCs w:val="21"/>
              </w:rPr>
              <w:t xml:space="preserve"> 19,695.78 </w:t>
            </w:r>
          </w:p>
        </w:tc>
        <w:tc>
          <w:tcPr>
            <w:tcW w:w="1176" w:type="dxa"/>
            <w:tcBorders>
              <w:top w:val="nil"/>
              <w:left w:val="nil"/>
              <w:bottom w:val="single" w:sz="4" w:space="0" w:color="auto"/>
              <w:right w:val="single" w:sz="4" w:space="0" w:color="auto"/>
            </w:tcBorders>
            <w:vAlign w:val="center"/>
            <w:hideMark/>
          </w:tcPr>
          <w:p w14:paraId="18DD5521" w14:textId="77777777" w:rsidR="00066142" w:rsidRDefault="00066142">
            <w:pPr>
              <w:jc w:val="center"/>
              <w:rPr>
                <w:rFonts w:ascii="宋体" w:hAnsi="宋体"/>
                <w:color w:val="000000"/>
                <w:szCs w:val="21"/>
              </w:rPr>
            </w:pPr>
            <w:r>
              <w:rPr>
                <w:rFonts w:ascii="宋体" w:hAnsi="宋体" w:hint="eastAsia"/>
                <w:color w:val="000000"/>
                <w:szCs w:val="21"/>
              </w:rPr>
              <w:t xml:space="preserve"> 104,898.20 </w:t>
            </w:r>
          </w:p>
        </w:tc>
        <w:tc>
          <w:tcPr>
            <w:tcW w:w="879" w:type="dxa"/>
            <w:tcBorders>
              <w:top w:val="nil"/>
              <w:left w:val="nil"/>
              <w:bottom w:val="single" w:sz="4" w:space="0" w:color="auto"/>
              <w:right w:val="single" w:sz="4" w:space="0" w:color="auto"/>
            </w:tcBorders>
            <w:vAlign w:val="center"/>
            <w:hideMark/>
          </w:tcPr>
          <w:p w14:paraId="7E178290" w14:textId="77777777" w:rsidR="00066142" w:rsidRDefault="00066142">
            <w:pPr>
              <w:jc w:val="center"/>
              <w:rPr>
                <w:rFonts w:ascii="宋体" w:hAnsi="宋体"/>
                <w:color w:val="000000"/>
                <w:szCs w:val="21"/>
              </w:rPr>
            </w:pPr>
            <w:r>
              <w:rPr>
                <w:rFonts w:ascii="宋体" w:hAnsi="宋体" w:hint="eastAsia"/>
                <w:color w:val="000000"/>
                <w:szCs w:val="21"/>
              </w:rPr>
              <w:t>95.33%</w:t>
            </w:r>
          </w:p>
        </w:tc>
        <w:tc>
          <w:tcPr>
            <w:tcW w:w="1701" w:type="dxa"/>
            <w:gridSpan w:val="4"/>
            <w:tcBorders>
              <w:top w:val="nil"/>
              <w:left w:val="nil"/>
              <w:bottom w:val="single" w:sz="4" w:space="0" w:color="auto"/>
              <w:right w:val="single" w:sz="4" w:space="0" w:color="auto"/>
            </w:tcBorders>
            <w:vAlign w:val="center"/>
            <w:hideMark/>
          </w:tcPr>
          <w:p w14:paraId="66F8DBA0" w14:textId="77777777" w:rsidR="00066142" w:rsidRDefault="00066142">
            <w:pPr>
              <w:jc w:val="center"/>
              <w:rPr>
                <w:rFonts w:ascii="宋体" w:hAnsi="宋体"/>
                <w:color w:val="000000"/>
                <w:szCs w:val="21"/>
              </w:rPr>
            </w:pPr>
            <w:r>
              <w:rPr>
                <w:rFonts w:ascii="宋体" w:hAnsi="宋体" w:hint="eastAsia"/>
                <w:color w:val="000000"/>
                <w:szCs w:val="21"/>
              </w:rPr>
              <w:t>-</w:t>
            </w:r>
          </w:p>
        </w:tc>
        <w:tc>
          <w:tcPr>
            <w:tcW w:w="1262" w:type="dxa"/>
            <w:gridSpan w:val="3"/>
            <w:tcBorders>
              <w:top w:val="nil"/>
              <w:left w:val="nil"/>
              <w:bottom w:val="single" w:sz="4" w:space="0" w:color="auto"/>
              <w:right w:val="single" w:sz="4" w:space="0" w:color="auto"/>
            </w:tcBorders>
            <w:vAlign w:val="center"/>
            <w:hideMark/>
          </w:tcPr>
          <w:p w14:paraId="740E7924" w14:textId="77777777" w:rsidR="00066142" w:rsidRDefault="00066142">
            <w:pPr>
              <w:jc w:val="center"/>
              <w:rPr>
                <w:rFonts w:ascii="宋体" w:hAnsi="宋体"/>
                <w:color w:val="000000"/>
                <w:szCs w:val="21"/>
              </w:rPr>
            </w:pPr>
            <w:r>
              <w:rPr>
                <w:rFonts w:ascii="宋体" w:hAnsi="宋体" w:hint="eastAsia"/>
                <w:color w:val="000000"/>
                <w:szCs w:val="21"/>
              </w:rPr>
              <w:t>-1,265.14</w:t>
            </w:r>
          </w:p>
        </w:tc>
        <w:tc>
          <w:tcPr>
            <w:tcW w:w="1006" w:type="dxa"/>
            <w:gridSpan w:val="2"/>
            <w:tcBorders>
              <w:top w:val="nil"/>
              <w:left w:val="nil"/>
              <w:bottom w:val="single" w:sz="4" w:space="0" w:color="auto"/>
              <w:right w:val="single" w:sz="4" w:space="0" w:color="auto"/>
            </w:tcBorders>
            <w:vAlign w:val="center"/>
            <w:hideMark/>
          </w:tcPr>
          <w:p w14:paraId="6A4A491F" w14:textId="77777777" w:rsidR="00066142" w:rsidRDefault="00066142">
            <w:pPr>
              <w:jc w:val="center"/>
              <w:rPr>
                <w:rFonts w:ascii="宋体" w:hAnsi="宋体"/>
                <w:color w:val="000000"/>
                <w:szCs w:val="21"/>
              </w:rPr>
            </w:pPr>
            <w:r>
              <w:rPr>
                <w:rFonts w:ascii="宋体" w:hAnsi="宋体" w:hint="eastAsia"/>
                <w:color w:val="000000"/>
                <w:szCs w:val="21"/>
              </w:rPr>
              <w:t>-</w:t>
            </w:r>
          </w:p>
        </w:tc>
        <w:tc>
          <w:tcPr>
            <w:tcW w:w="1654" w:type="dxa"/>
            <w:gridSpan w:val="3"/>
            <w:tcBorders>
              <w:top w:val="nil"/>
              <w:left w:val="nil"/>
              <w:bottom w:val="single" w:sz="4" w:space="0" w:color="auto"/>
              <w:right w:val="single" w:sz="8" w:space="0" w:color="auto"/>
            </w:tcBorders>
            <w:vAlign w:val="center"/>
            <w:hideMark/>
          </w:tcPr>
          <w:p w14:paraId="3EE40B98" w14:textId="77777777" w:rsidR="00066142" w:rsidRDefault="00066142">
            <w:pPr>
              <w:jc w:val="center"/>
              <w:rPr>
                <w:rFonts w:ascii="宋体" w:hAnsi="宋体"/>
                <w:color w:val="000000"/>
                <w:szCs w:val="21"/>
              </w:rPr>
            </w:pPr>
            <w:r>
              <w:rPr>
                <w:rFonts w:ascii="宋体" w:hAnsi="宋体" w:hint="eastAsia"/>
                <w:color w:val="000000"/>
                <w:szCs w:val="21"/>
              </w:rPr>
              <w:t>-</w:t>
            </w:r>
          </w:p>
        </w:tc>
      </w:tr>
      <w:tr w:rsidR="00066142" w14:paraId="01099E3C" w14:textId="77777777" w:rsidTr="00066142">
        <w:trPr>
          <w:trHeight w:val="534"/>
        </w:trPr>
        <w:tc>
          <w:tcPr>
            <w:tcW w:w="4691" w:type="dxa"/>
            <w:gridSpan w:val="5"/>
            <w:tcBorders>
              <w:top w:val="single" w:sz="4" w:space="0" w:color="auto"/>
              <w:left w:val="single" w:sz="8" w:space="0" w:color="auto"/>
              <w:bottom w:val="single" w:sz="4" w:space="0" w:color="auto"/>
              <w:right w:val="single" w:sz="4" w:space="0" w:color="auto"/>
            </w:tcBorders>
            <w:vAlign w:val="center"/>
            <w:hideMark/>
          </w:tcPr>
          <w:p w14:paraId="32CA545B" w14:textId="77777777" w:rsidR="00066142" w:rsidRDefault="00066142">
            <w:pPr>
              <w:jc w:val="center"/>
              <w:rPr>
                <w:rFonts w:ascii="宋体" w:hAnsi="宋体"/>
                <w:color w:val="000000"/>
                <w:szCs w:val="21"/>
              </w:rPr>
            </w:pPr>
            <w:r>
              <w:rPr>
                <w:rFonts w:ascii="宋体" w:hAnsi="宋体" w:hint="eastAsia"/>
                <w:color w:val="000000"/>
                <w:szCs w:val="21"/>
              </w:rPr>
              <w:t>变更原因、决策程序及信息披露情况说明</w:t>
            </w:r>
          </w:p>
        </w:tc>
        <w:tc>
          <w:tcPr>
            <w:tcW w:w="11010" w:type="dxa"/>
            <w:gridSpan w:val="19"/>
            <w:tcBorders>
              <w:top w:val="nil"/>
              <w:left w:val="nil"/>
              <w:bottom w:val="single" w:sz="4" w:space="0" w:color="auto"/>
              <w:right w:val="single" w:sz="8" w:space="0" w:color="000000"/>
            </w:tcBorders>
            <w:vAlign w:val="center"/>
            <w:hideMark/>
          </w:tcPr>
          <w:p w14:paraId="1712F463" w14:textId="77777777" w:rsidR="00066142" w:rsidRDefault="00066142">
            <w:pPr>
              <w:ind w:firstLineChars="200" w:firstLine="420"/>
              <w:rPr>
                <w:rFonts w:ascii="宋体" w:hAnsi="宋体"/>
                <w:color w:val="000000"/>
                <w:szCs w:val="21"/>
              </w:rPr>
            </w:pPr>
            <w:r>
              <w:rPr>
                <w:rFonts w:ascii="宋体" w:hAnsi="宋体" w:hint="eastAsia"/>
                <w:color w:val="000000"/>
                <w:szCs w:val="21"/>
              </w:rPr>
              <w:t>本次非公开发行股票所募集到的资金扣除发行费用后 96,741.78 万元，原计划用于公司汽车液力变矩器建设项目，经公司审慎</w:t>
            </w:r>
            <w:proofErr w:type="gramStart"/>
            <w:r>
              <w:rPr>
                <w:rFonts w:ascii="宋体" w:hAnsi="宋体" w:hint="eastAsia"/>
                <w:color w:val="000000"/>
                <w:szCs w:val="21"/>
              </w:rPr>
              <w:t>研</w:t>
            </w:r>
            <w:proofErr w:type="gramEnd"/>
            <w:r>
              <w:rPr>
                <w:rFonts w:ascii="宋体" w:hAnsi="宋体" w:hint="eastAsia"/>
                <w:color w:val="000000"/>
                <w:szCs w:val="21"/>
              </w:rPr>
              <w:t>判决定</w:t>
            </w:r>
            <w:proofErr w:type="gramStart"/>
            <w:r>
              <w:rPr>
                <w:rFonts w:ascii="宋体" w:hAnsi="宋体" w:hint="eastAsia"/>
                <w:color w:val="000000"/>
                <w:szCs w:val="21"/>
              </w:rPr>
              <w:t>变更非</w:t>
            </w:r>
            <w:proofErr w:type="gramEnd"/>
            <w:r>
              <w:rPr>
                <w:rFonts w:ascii="宋体" w:hAnsi="宋体" w:hint="eastAsia"/>
                <w:color w:val="000000"/>
                <w:szCs w:val="21"/>
              </w:rPr>
              <w:t>公开发行</w:t>
            </w:r>
            <w:proofErr w:type="gramStart"/>
            <w:r>
              <w:rPr>
                <w:rFonts w:ascii="宋体" w:hAnsi="宋体" w:hint="eastAsia"/>
                <w:color w:val="000000"/>
                <w:szCs w:val="21"/>
              </w:rPr>
              <w:t>股票募投项目</w:t>
            </w:r>
            <w:proofErr w:type="gramEnd"/>
            <w:r>
              <w:rPr>
                <w:rFonts w:ascii="宋体" w:hAnsi="宋体" w:hint="eastAsia"/>
                <w:color w:val="000000"/>
                <w:szCs w:val="21"/>
              </w:rPr>
              <w:t>，能够有效防范公司按原计划投入后可能导致的产能闲置风险；公司使用剩余募集资金补充流动资金并归还银行贷款后，能够减少财务费用支出，进一步优化公司财务结构，提高募集资金使用效益。本次募集资金永久补充流动资金，有利于最大程度发挥募集资金使用效益，符合公司实际经营发展需要，符合全体股东利益，未违反中国证监会、上海证券交易所关于上市公司募集资金使用的有关规定。</w:t>
            </w:r>
          </w:p>
          <w:p w14:paraId="4D363ED3" w14:textId="77777777" w:rsidR="00066142" w:rsidRDefault="00066142">
            <w:pPr>
              <w:ind w:firstLineChars="200" w:firstLine="420"/>
              <w:rPr>
                <w:rFonts w:ascii="宋体" w:hAnsi="宋体"/>
                <w:color w:val="000000"/>
                <w:szCs w:val="21"/>
              </w:rPr>
            </w:pPr>
            <w:r>
              <w:rPr>
                <w:rFonts w:ascii="宋体" w:hAnsi="宋体" w:hint="eastAsia"/>
                <w:color w:val="000000"/>
                <w:szCs w:val="21"/>
              </w:rPr>
              <w:t>公司第六届董事会第十五次会议审议通过了《关于变更募集资金项目并将剩余募集资金永久补充流动资金的议案》，同意变更原非公开发行</w:t>
            </w:r>
            <w:proofErr w:type="gramStart"/>
            <w:r>
              <w:rPr>
                <w:rFonts w:ascii="宋体" w:hAnsi="宋体" w:hint="eastAsia"/>
                <w:color w:val="000000"/>
                <w:szCs w:val="21"/>
              </w:rPr>
              <w:t>募投项目</w:t>
            </w:r>
            <w:proofErr w:type="gramEnd"/>
            <w:r>
              <w:rPr>
                <w:rFonts w:ascii="宋体" w:hAnsi="宋体" w:hint="eastAsia"/>
                <w:color w:val="000000"/>
                <w:szCs w:val="21"/>
              </w:rPr>
              <w:t xml:space="preserve">募集资金投入，变更后总投资金额57,684.00 万元，剩余募集资金永久补充流动资金用于归还母公司短期借款（内容详见公司在上海证券交易所网站（www.sse.com.cn）披露的临 2019-022 号公告），本次变更于2019年5月17日经公司2018年年度股东大会审议通过（内容详见公司在上海证券交易所网站（www.sse.com.cn）披露的临 2019-027 号公告）。                             </w:t>
            </w:r>
          </w:p>
          <w:p w14:paraId="3514FBB8" w14:textId="77777777" w:rsidR="00066142" w:rsidRDefault="00066142">
            <w:pPr>
              <w:ind w:firstLineChars="200" w:firstLine="420"/>
              <w:rPr>
                <w:rFonts w:ascii="宋体" w:hAnsi="宋体"/>
                <w:color w:val="000000"/>
                <w:szCs w:val="21"/>
              </w:rPr>
            </w:pPr>
            <w:r>
              <w:rPr>
                <w:rFonts w:ascii="宋体" w:hAnsi="宋体" w:hint="eastAsia"/>
                <w:color w:val="000000"/>
                <w:szCs w:val="21"/>
              </w:rPr>
              <w:t>公司原项目概算为 57,684.00 万元，截至目前公司已按照产能设计需求，完成了三条液力变矩器生产线及辅助配套设施等的建设，达到项目建设目标，因优化调整部分项目建设内容，实际使用募集资金 45,157.92 万元（含铺底流动资金，及质保金等待支付款），结余募集资金（含利息）14,456.56 万元永久性补充流动资金。</w:t>
            </w:r>
          </w:p>
        </w:tc>
      </w:tr>
      <w:tr w:rsidR="00066142" w14:paraId="525DB060" w14:textId="77777777" w:rsidTr="00066142">
        <w:trPr>
          <w:trHeight w:val="384"/>
        </w:trPr>
        <w:tc>
          <w:tcPr>
            <w:tcW w:w="4691" w:type="dxa"/>
            <w:gridSpan w:val="5"/>
            <w:tcBorders>
              <w:top w:val="single" w:sz="4" w:space="0" w:color="auto"/>
              <w:left w:val="single" w:sz="8" w:space="0" w:color="auto"/>
              <w:bottom w:val="single" w:sz="4" w:space="0" w:color="auto"/>
              <w:right w:val="single" w:sz="4" w:space="0" w:color="auto"/>
            </w:tcBorders>
            <w:vAlign w:val="center"/>
            <w:hideMark/>
          </w:tcPr>
          <w:p w14:paraId="690815D9" w14:textId="77777777" w:rsidR="00066142" w:rsidRDefault="00066142">
            <w:pPr>
              <w:jc w:val="center"/>
              <w:rPr>
                <w:rFonts w:ascii="宋体" w:hAnsi="宋体"/>
                <w:color w:val="000000"/>
                <w:szCs w:val="21"/>
              </w:rPr>
            </w:pPr>
            <w:r>
              <w:rPr>
                <w:rFonts w:ascii="宋体" w:hAnsi="宋体" w:hint="eastAsia"/>
                <w:color w:val="000000"/>
                <w:szCs w:val="21"/>
              </w:rPr>
              <w:lastRenderedPageBreak/>
              <w:t>未达到计划进度的情况和原因</w:t>
            </w:r>
          </w:p>
        </w:tc>
        <w:tc>
          <w:tcPr>
            <w:tcW w:w="11010" w:type="dxa"/>
            <w:gridSpan w:val="19"/>
            <w:tcBorders>
              <w:top w:val="nil"/>
              <w:left w:val="nil"/>
              <w:bottom w:val="single" w:sz="4" w:space="0" w:color="auto"/>
              <w:right w:val="single" w:sz="8" w:space="0" w:color="000000"/>
            </w:tcBorders>
            <w:vAlign w:val="center"/>
            <w:hideMark/>
          </w:tcPr>
          <w:p w14:paraId="763B0C8F" w14:textId="77777777" w:rsidR="00066142" w:rsidRDefault="00066142">
            <w:pPr>
              <w:ind w:firstLineChars="2600" w:firstLine="5460"/>
              <w:jc w:val="left"/>
              <w:rPr>
                <w:rFonts w:ascii="宋体" w:hAnsi="宋体"/>
                <w:color w:val="000000"/>
                <w:szCs w:val="21"/>
              </w:rPr>
            </w:pPr>
            <w:r>
              <w:rPr>
                <w:rFonts w:ascii="宋体" w:hAnsi="宋体" w:hint="eastAsia"/>
                <w:color w:val="000000"/>
                <w:szCs w:val="21"/>
              </w:rPr>
              <w:t>无</w:t>
            </w:r>
          </w:p>
        </w:tc>
      </w:tr>
      <w:tr w:rsidR="00066142" w14:paraId="29D04AA7" w14:textId="77777777" w:rsidTr="00066142">
        <w:trPr>
          <w:trHeight w:val="450"/>
        </w:trPr>
        <w:tc>
          <w:tcPr>
            <w:tcW w:w="4691" w:type="dxa"/>
            <w:gridSpan w:val="5"/>
            <w:tcBorders>
              <w:top w:val="single" w:sz="4" w:space="0" w:color="auto"/>
              <w:left w:val="single" w:sz="8" w:space="0" w:color="auto"/>
              <w:bottom w:val="single" w:sz="8" w:space="0" w:color="auto"/>
              <w:right w:val="single" w:sz="4" w:space="0" w:color="auto"/>
            </w:tcBorders>
            <w:vAlign w:val="center"/>
            <w:hideMark/>
          </w:tcPr>
          <w:p w14:paraId="6F443866" w14:textId="77777777" w:rsidR="00066142" w:rsidRDefault="00066142">
            <w:pPr>
              <w:jc w:val="center"/>
              <w:rPr>
                <w:rFonts w:ascii="宋体" w:hAnsi="宋体"/>
                <w:color w:val="000000"/>
                <w:szCs w:val="21"/>
              </w:rPr>
            </w:pPr>
            <w:r>
              <w:rPr>
                <w:rFonts w:ascii="宋体" w:hAnsi="宋体" w:hint="eastAsia"/>
                <w:color w:val="000000"/>
                <w:szCs w:val="21"/>
              </w:rPr>
              <w:t>变更后的项目可行性发生重大变化的情况说明</w:t>
            </w:r>
          </w:p>
        </w:tc>
        <w:tc>
          <w:tcPr>
            <w:tcW w:w="11010" w:type="dxa"/>
            <w:gridSpan w:val="19"/>
            <w:tcBorders>
              <w:top w:val="nil"/>
              <w:left w:val="nil"/>
              <w:bottom w:val="single" w:sz="8" w:space="0" w:color="auto"/>
              <w:right w:val="single" w:sz="8" w:space="0" w:color="000000"/>
            </w:tcBorders>
            <w:vAlign w:val="center"/>
            <w:hideMark/>
          </w:tcPr>
          <w:p w14:paraId="2734A5FB" w14:textId="77777777" w:rsidR="00066142" w:rsidRDefault="00066142">
            <w:pPr>
              <w:jc w:val="center"/>
              <w:rPr>
                <w:rFonts w:ascii="宋体" w:hAnsi="宋体"/>
                <w:color w:val="000000"/>
                <w:szCs w:val="21"/>
              </w:rPr>
            </w:pPr>
            <w:r>
              <w:rPr>
                <w:rFonts w:ascii="宋体" w:hAnsi="宋体" w:hint="eastAsia"/>
                <w:color w:val="000000"/>
                <w:szCs w:val="21"/>
              </w:rPr>
              <w:t xml:space="preserve">    无</w:t>
            </w:r>
          </w:p>
        </w:tc>
      </w:tr>
    </w:tbl>
    <w:p w14:paraId="2126CF7C" w14:textId="576B270D" w:rsidR="00896BA0" w:rsidRPr="00066142" w:rsidRDefault="00066142" w:rsidP="00066142">
      <w:pPr>
        <w:spacing w:line="60" w:lineRule="atLeast"/>
        <w:ind w:right="945"/>
        <w:rPr>
          <w:rFonts w:ascii="宋体" w:hAnsi="宋体"/>
          <w:szCs w:val="21"/>
        </w:rPr>
      </w:pPr>
      <w:r>
        <w:rPr>
          <w:rFonts w:ascii="宋体" w:hAnsi="宋体" w:hint="eastAsia"/>
          <w:szCs w:val="21"/>
        </w:rPr>
        <w:t>注：“本年度实现的效益”的计算口径、计算方法应与承诺效益的</w:t>
      </w:r>
      <w:bookmarkStart w:id="0" w:name="_GoBack"/>
      <w:bookmarkEnd w:id="0"/>
      <w:r>
        <w:rPr>
          <w:rFonts w:ascii="宋体" w:hAnsi="宋体" w:hint="eastAsia"/>
          <w:szCs w:val="21"/>
        </w:rPr>
        <w:t>计算口径、计算方法一致。</w:t>
      </w:r>
    </w:p>
    <w:sectPr w:rsidR="00896BA0" w:rsidRPr="00066142" w:rsidSect="00CB6EEE">
      <w:headerReference w:type="default" r:id="rId10"/>
      <w:pgSz w:w="16838" w:h="11906" w:orient="landscape"/>
      <w:pgMar w:top="720" w:right="720" w:bottom="720" w:left="720" w:header="624" w:footer="992"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40F24C" w14:textId="77777777" w:rsidR="00327610" w:rsidRDefault="00327610" w:rsidP="00E9734D">
      <w:r>
        <w:separator/>
      </w:r>
    </w:p>
  </w:endnote>
  <w:endnote w:type="continuationSeparator" w:id="0">
    <w:p w14:paraId="25433135" w14:textId="77777777" w:rsidR="00327610" w:rsidRDefault="00327610" w:rsidP="00E97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3" w:usb1="080E0000" w:usb2="00000010" w:usb3="00000000" w:csb0="00040001"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D516D" w14:textId="46090FF9" w:rsidR="00F00178" w:rsidRDefault="00F00178">
    <w:pPr>
      <w:pStyle w:val="a7"/>
      <w:jc w:val="center"/>
    </w:pPr>
    <w:r>
      <w:fldChar w:fldCharType="begin"/>
    </w:r>
    <w:r>
      <w:instrText xml:space="preserve"> PAGE   \* MERGEFORMAT </w:instrText>
    </w:r>
    <w:r>
      <w:fldChar w:fldCharType="separate"/>
    </w:r>
    <w:r w:rsidR="00ED5BE0" w:rsidRPr="00ED5BE0">
      <w:rPr>
        <w:noProof/>
        <w:lang w:val="zh-CN"/>
      </w:rPr>
      <w:t>4</w:t>
    </w:r>
    <w:r>
      <w:fldChar w:fldCharType="end"/>
    </w:r>
  </w:p>
  <w:p w14:paraId="57898DF9" w14:textId="77777777" w:rsidR="00F00178" w:rsidRDefault="00F00178">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89628" w14:textId="10EB5B18" w:rsidR="0003402A" w:rsidRDefault="007C046C">
    <w:pPr>
      <w:pStyle w:val="a7"/>
      <w:jc w:val="center"/>
    </w:pPr>
    <w:r>
      <w:fldChar w:fldCharType="begin"/>
    </w:r>
    <w:r>
      <w:instrText xml:space="preserve"> PAGE   \* MERGEFORMAT </w:instrText>
    </w:r>
    <w:r>
      <w:fldChar w:fldCharType="separate"/>
    </w:r>
    <w:r w:rsidR="00ED5BE0" w:rsidRPr="00ED5BE0">
      <w:rPr>
        <w:noProof/>
        <w:lang w:val="zh-CN"/>
      </w:rPr>
      <w:t>9</w:t>
    </w:r>
    <w:r>
      <w:rPr>
        <w:lang w:val="zh-CN"/>
      </w:rPr>
      <w:fldChar w:fldCharType="end"/>
    </w:r>
  </w:p>
  <w:p w14:paraId="28E539E6" w14:textId="77777777" w:rsidR="0003402A" w:rsidRDefault="00327610">
    <w:pPr>
      <w:pStyle w:val="a7"/>
      <w:spacing w:line="180" w:lineRule="atLea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D3C901" w14:textId="77777777" w:rsidR="00327610" w:rsidRDefault="00327610" w:rsidP="00E9734D">
      <w:r>
        <w:separator/>
      </w:r>
    </w:p>
  </w:footnote>
  <w:footnote w:type="continuationSeparator" w:id="0">
    <w:p w14:paraId="2AC11880" w14:textId="77777777" w:rsidR="00327610" w:rsidRDefault="00327610" w:rsidP="00E9734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BED99" w14:textId="63E062F6" w:rsidR="00C83E2E" w:rsidRPr="00DB69AA" w:rsidRDefault="00C83E2E" w:rsidP="00C83E2E">
    <w:pPr>
      <w:pBdr>
        <w:bottom w:val="single" w:sz="4" w:space="1" w:color="auto"/>
      </w:pBdr>
      <w:rPr>
        <w:b/>
      </w:rPr>
    </w:pPr>
    <w:r>
      <w:rPr>
        <w:rFonts w:hint="eastAsia"/>
        <w:b/>
      </w:rPr>
      <w:t>证券代码：</w:t>
    </w:r>
    <w:r>
      <w:rPr>
        <w:rFonts w:hint="eastAsia"/>
        <w:b/>
      </w:rPr>
      <w:t xml:space="preserve">600343              </w:t>
    </w:r>
    <w:r>
      <w:rPr>
        <w:rFonts w:hint="eastAsia"/>
        <w:b/>
      </w:rPr>
      <w:t>股票简称：航天动力</w:t>
    </w:r>
    <w:r>
      <w:rPr>
        <w:rFonts w:hint="eastAsia"/>
        <w:b/>
      </w:rPr>
      <w:t xml:space="preserve">                </w:t>
    </w:r>
    <w:r>
      <w:rPr>
        <w:rFonts w:hint="eastAsia"/>
        <w:b/>
      </w:rPr>
      <w:t>编号：临</w:t>
    </w:r>
    <w:r>
      <w:rPr>
        <w:rFonts w:hint="eastAsia"/>
        <w:b/>
      </w:rPr>
      <w:t>202</w:t>
    </w:r>
    <w:r>
      <w:rPr>
        <w:b/>
      </w:rPr>
      <w:t>3</w:t>
    </w:r>
    <w:r>
      <w:rPr>
        <w:rFonts w:hint="eastAsia"/>
        <w:b/>
      </w:rPr>
      <w:t>-</w:t>
    </w:r>
    <w:r w:rsidRPr="00DB69AA">
      <w:rPr>
        <w:b/>
      </w:rPr>
      <w:t>009</w:t>
    </w:r>
  </w:p>
  <w:p w14:paraId="48E1E318" w14:textId="77777777" w:rsidR="00F00178" w:rsidRPr="00C83E2E" w:rsidRDefault="00F00178">
    <w:pPr>
      <w:pStyle w:val="a9"/>
      <w:pBdr>
        <w:bottom w:val="none" w:sz="0" w:space="0" w:color="auto"/>
      </w:pBd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43E0A6" w14:textId="531880CD" w:rsidR="00A85081" w:rsidRPr="00146121" w:rsidRDefault="007C046C" w:rsidP="00A85081">
    <w:pPr>
      <w:pStyle w:val="a9"/>
      <w:jc w:val="both"/>
      <w:rPr>
        <w:b/>
        <w:bCs/>
        <w:color w:val="FF0000"/>
        <w:sz w:val="21"/>
      </w:rPr>
    </w:pPr>
    <w:r>
      <w:rPr>
        <w:rFonts w:hint="eastAsia"/>
        <w:b/>
        <w:bCs/>
        <w:sz w:val="21"/>
      </w:rPr>
      <w:t>证券简称：航天动力</w:t>
    </w:r>
    <w:r>
      <w:rPr>
        <w:rFonts w:hint="eastAsia"/>
        <w:b/>
        <w:bCs/>
        <w:sz w:val="21"/>
      </w:rPr>
      <w:t xml:space="preserve">              </w:t>
    </w:r>
    <w:r>
      <w:rPr>
        <w:rFonts w:hint="eastAsia"/>
        <w:b/>
        <w:bCs/>
        <w:sz w:val="21"/>
      </w:rPr>
      <w:t>证券代码：</w:t>
    </w:r>
    <w:r>
      <w:rPr>
        <w:rFonts w:hint="eastAsia"/>
        <w:b/>
        <w:bCs/>
        <w:sz w:val="21"/>
      </w:rPr>
      <w:t xml:space="preserve">600343            </w:t>
    </w:r>
    <w:r w:rsidRPr="00BE1750">
      <w:rPr>
        <w:rFonts w:hint="eastAsia"/>
        <w:b/>
        <w:bCs/>
        <w:color w:val="FF0000"/>
        <w:sz w:val="21"/>
      </w:rPr>
      <w:t xml:space="preserve"> </w:t>
    </w:r>
    <w:r>
      <w:rPr>
        <w:rFonts w:hint="eastAsia"/>
        <w:b/>
        <w:bCs/>
        <w:color w:val="FF0000"/>
        <w:sz w:val="21"/>
      </w:rPr>
      <w:t xml:space="preserve">  </w:t>
    </w:r>
    <w:r w:rsidRPr="00EB5E95">
      <w:rPr>
        <w:rFonts w:hint="eastAsia"/>
        <w:b/>
        <w:bCs/>
        <w:sz w:val="21"/>
      </w:rPr>
      <w:t xml:space="preserve"> </w:t>
    </w:r>
    <w:r w:rsidRPr="00EB5E95">
      <w:rPr>
        <w:rFonts w:hint="eastAsia"/>
        <w:b/>
        <w:bCs/>
        <w:sz w:val="21"/>
      </w:rPr>
      <w:t>编号：</w:t>
    </w:r>
    <w:r>
      <w:rPr>
        <w:rFonts w:hint="eastAsia"/>
        <w:b/>
        <w:bCs/>
        <w:sz w:val="21"/>
      </w:rPr>
      <w:t>临</w:t>
    </w:r>
    <w:r>
      <w:rPr>
        <w:rFonts w:hint="eastAsia"/>
        <w:b/>
        <w:bCs/>
        <w:sz w:val="21"/>
      </w:rPr>
      <w:t>20</w:t>
    </w:r>
    <w:r w:rsidR="005E3CCB">
      <w:rPr>
        <w:b/>
        <w:bCs/>
        <w:sz w:val="21"/>
      </w:rPr>
      <w:t>2</w:t>
    </w:r>
    <w:r w:rsidR="00146121">
      <w:rPr>
        <w:b/>
        <w:bCs/>
        <w:sz w:val="21"/>
      </w:rPr>
      <w:t>3</w:t>
    </w:r>
    <w:r w:rsidR="00E9734D" w:rsidRPr="00ED5BE0">
      <w:rPr>
        <w:b/>
        <w:bCs/>
        <w:sz w:val="21"/>
      </w:rPr>
      <w:t>-0</w:t>
    </w:r>
    <w:r w:rsidR="00146121" w:rsidRPr="00ED5BE0">
      <w:rPr>
        <w:b/>
        <w:bCs/>
        <w:sz w:val="21"/>
      </w:rPr>
      <w:t>09</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055203" w14:textId="18452CAF" w:rsidR="0003402A" w:rsidRDefault="007C046C">
    <w:pPr>
      <w:pStyle w:val="a9"/>
      <w:jc w:val="both"/>
      <w:rPr>
        <w:b/>
        <w:bCs/>
        <w:color w:val="000000" w:themeColor="text1"/>
        <w:sz w:val="21"/>
      </w:rPr>
    </w:pPr>
    <w:r>
      <w:rPr>
        <w:rFonts w:hint="eastAsia"/>
        <w:b/>
        <w:bCs/>
        <w:sz w:val="21"/>
      </w:rPr>
      <w:t>证券简称：航天动力</w:t>
    </w:r>
    <w:r>
      <w:rPr>
        <w:rFonts w:hint="eastAsia"/>
        <w:b/>
        <w:bCs/>
        <w:sz w:val="21"/>
      </w:rPr>
      <w:t xml:space="preserve"> </w:t>
    </w:r>
    <w:r>
      <w:rPr>
        <w:b/>
        <w:bCs/>
        <w:sz w:val="21"/>
      </w:rPr>
      <w:t xml:space="preserve">                                               </w:t>
    </w:r>
    <w:r>
      <w:rPr>
        <w:rFonts w:hint="eastAsia"/>
        <w:b/>
        <w:bCs/>
        <w:sz w:val="21"/>
      </w:rPr>
      <w:t>证券代码：</w:t>
    </w:r>
    <w:r>
      <w:rPr>
        <w:rFonts w:hint="eastAsia"/>
        <w:b/>
        <w:bCs/>
        <w:sz w:val="21"/>
      </w:rPr>
      <w:t xml:space="preserve">600343          </w:t>
    </w:r>
    <w:r>
      <w:rPr>
        <w:b/>
        <w:bCs/>
        <w:sz w:val="21"/>
      </w:rPr>
      <w:t xml:space="preserve">          </w:t>
    </w:r>
    <w:r>
      <w:rPr>
        <w:rFonts w:hint="eastAsia"/>
        <w:b/>
        <w:bCs/>
        <w:sz w:val="21"/>
      </w:rPr>
      <w:t xml:space="preserve">                          </w:t>
    </w:r>
    <w:r>
      <w:rPr>
        <w:rFonts w:hint="eastAsia"/>
        <w:b/>
        <w:bCs/>
        <w:sz w:val="21"/>
      </w:rPr>
      <w:t>编号：临</w:t>
    </w:r>
    <w:r>
      <w:rPr>
        <w:rFonts w:hint="eastAsia"/>
        <w:b/>
        <w:bCs/>
        <w:color w:val="000000" w:themeColor="text1"/>
        <w:sz w:val="21"/>
      </w:rPr>
      <w:t>20</w:t>
    </w:r>
    <w:r w:rsidR="005E3CCB">
      <w:rPr>
        <w:b/>
        <w:bCs/>
        <w:color w:val="000000" w:themeColor="text1"/>
        <w:sz w:val="21"/>
      </w:rPr>
      <w:t>2</w:t>
    </w:r>
    <w:r w:rsidR="00EB56C0">
      <w:rPr>
        <w:b/>
        <w:bCs/>
        <w:color w:val="000000" w:themeColor="text1"/>
        <w:sz w:val="21"/>
      </w:rPr>
      <w:t>3</w:t>
    </w:r>
    <w:r w:rsidR="005E3CCB">
      <w:rPr>
        <w:b/>
        <w:bCs/>
        <w:color w:val="000000" w:themeColor="text1"/>
        <w:sz w:val="21"/>
      </w:rPr>
      <w:t>-</w:t>
    </w:r>
    <w:r w:rsidR="005E3CCB" w:rsidRPr="00ED5BE0">
      <w:rPr>
        <w:b/>
        <w:bCs/>
        <w:sz w:val="21"/>
      </w:rPr>
      <w:t>0</w:t>
    </w:r>
    <w:r w:rsidR="00EB56C0" w:rsidRPr="00ED5BE0">
      <w:rPr>
        <w:b/>
        <w:bCs/>
        <w:sz w:val="21"/>
      </w:rPr>
      <w:t>09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34D"/>
    <w:rsid w:val="000351F6"/>
    <w:rsid w:val="00047101"/>
    <w:rsid w:val="0005771E"/>
    <w:rsid w:val="00065481"/>
    <w:rsid w:val="00066142"/>
    <w:rsid w:val="000751D6"/>
    <w:rsid w:val="0008496A"/>
    <w:rsid w:val="000B670C"/>
    <w:rsid w:val="000C4BA0"/>
    <w:rsid w:val="000C5B6D"/>
    <w:rsid w:val="000D3253"/>
    <w:rsid w:val="000D4F1A"/>
    <w:rsid w:val="000E3215"/>
    <w:rsid w:val="001019BD"/>
    <w:rsid w:val="00121E4C"/>
    <w:rsid w:val="00142C75"/>
    <w:rsid w:val="00146121"/>
    <w:rsid w:val="00147BD8"/>
    <w:rsid w:val="00151355"/>
    <w:rsid w:val="00152116"/>
    <w:rsid w:val="00165B08"/>
    <w:rsid w:val="001726DB"/>
    <w:rsid w:val="00173629"/>
    <w:rsid w:val="00194D76"/>
    <w:rsid w:val="001D5876"/>
    <w:rsid w:val="001E3B5A"/>
    <w:rsid w:val="001E6B6F"/>
    <w:rsid w:val="00206650"/>
    <w:rsid w:val="00216D0B"/>
    <w:rsid w:val="00233FC6"/>
    <w:rsid w:val="00265633"/>
    <w:rsid w:val="002670F5"/>
    <w:rsid w:val="00274ED6"/>
    <w:rsid w:val="00277DAE"/>
    <w:rsid w:val="0029688D"/>
    <w:rsid w:val="002D2204"/>
    <w:rsid w:val="002F5946"/>
    <w:rsid w:val="002F6117"/>
    <w:rsid w:val="00307664"/>
    <w:rsid w:val="00327610"/>
    <w:rsid w:val="00363292"/>
    <w:rsid w:val="00375156"/>
    <w:rsid w:val="00382AA3"/>
    <w:rsid w:val="003A6A92"/>
    <w:rsid w:val="003C0A80"/>
    <w:rsid w:val="003C3927"/>
    <w:rsid w:val="003D1865"/>
    <w:rsid w:val="003E059D"/>
    <w:rsid w:val="003E55FD"/>
    <w:rsid w:val="003F2775"/>
    <w:rsid w:val="00406CDF"/>
    <w:rsid w:val="00430421"/>
    <w:rsid w:val="004426C0"/>
    <w:rsid w:val="00455DCC"/>
    <w:rsid w:val="00456D8E"/>
    <w:rsid w:val="00493EB5"/>
    <w:rsid w:val="00494717"/>
    <w:rsid w:val="004A2687"/>
    <w:rsid w:val="004A7147"/>
    <w:rsid w:val="004C18CA"/>
    <w:rsid w:val="004D01DC"/>
    <w:rsid w:val="0053400B"/>
    <w:rsid w:val="005649EA"/>
    <w:rsid w:val="00580119"/>
    <w:rsid w:val="00582840"/>
    <w:rsid w:val="005840C0"/>
    <w:rsid w:val="00595F03"/>
    <w:rsid w:val="005E14EE"/>
    <w:rsid w:val="005E3CCB"/>
    <w:rsid w:val="005E7734"/>
    <w:rsid w:val="0060105E"/>
    <w:rsid w:val="00603537"/>
    <w:rsid w:val="00610985"/>
    <w:rsid w:val="00612460"/>
    <w:rsid w:val="00630F9B"/>
    <w:rsid w:val="00632721"/>
    <w:rsid w:val="006451EC"/>
    <w:rsid w:val="0065654F"/>
    <w:rsid w:val="0065693E"/>
    <w:rsid w:val="006615CC"/>
    <w:rsid w:val="00694925"/>
    <w:rsid w:val="006961C5"/>
    <w:rsid w:val="00696A65"/>
    <w:rsid w:val="006B5C39"/>
    <w:rsid w:val="006B69DB"/>
    <w:rsid w:val="006C18F9"/>
    <w:rsid w:val="006C1D4D"/>
    <w:rsid w:val="006C580F"/>
    <w:rsid w:val="006D0C81"/>
    <w:rsid w:val="006D345B"/>
    <w:rsid w:val="00700921"/>
    <w:rsid w:val="00711FE3"/>
    <w:rsid w:val="00721954"/>
    <w:rsid w:val="00740464"/>
    <w:rsid w:val="00741ECC"/>
    <w:rsid w:val="007523B8"/>
    <w:rsid w:val="00766C3B"/>
    <w:rsid w:val="00791DD9"/>
    <w:rsid w:val="00795C04"/>
    <w:rsid w:val="007A43D0"/>
    <w:rsid w:val="007A522C"/>
    <w:rsid w:val="007C046C"/>
    <w:rsid w:val="007E68C4"/>
    <w:rsid w:val="007E6E0A"/>
    <w:rsid w:val="007F4767"/>
    <w:rsid w:val="00806A70"/>
    <w:rsid w:val="008079A6"/>
    <w:rsid w:val="0082183F"/>
    <w:rsid w:val="00856344"/>
    <w:rsid w:val="008667FD"/>
    <w:rsid w:val="008727FD"/>
    <w:rsid w:val="00876B30"/>
    <w:rsid w:val="00892387"/>
    <w:rsid w:val="0089339D"/>
    <w:rsid w:val="00896BA0"/>
    <w:rsid w:val="008A3A4D"/>
    <w:rsid w:val="008E6163"/>
    <w:rsid w:val="008E7471"/>
    <w:rsid w:val="00915E62"/>
    <w:rsid w:val="0091708A"/>
    <w:rsid w:val="009179D5"/>
    <w:rsid w:val="00934F67"/>
    <w:rsid w:val="00945E86"/>
    <w:rsid w:val="00947094"/>
    <w:rsid w:val="00976C09"/>
    <w:rsid w:val="00983116"/>
    <w:rsid w:val="00996AB7"/>
    <w:rsid w:val="009A42E2"/>
    <w:rsid w:val="009A7599"/>
    <w:rsid w:val="009B5B35"/>
    <w:rsid w:val="009C758D"/>
    <w:rsid w:val="009D2D5A"/>
    <w:rsid w:val="00A0295B"/>
    <w:rsid w:val="00A10780"/>
    <w:rsid w:val="00A20435"/>
    <w:rsid w:val="00A208EC"/>
    <w:rsid w:val="00A51DEB"/>
    <w:rsid w:val="00A521B8"/>
    <w:rsid w:val="00A764BF"/>
    <w:rsid w:val="00A819E8"/>
    <w:rsid w:val="00A90F30"/>
    <w:rsid w:val="00AA467D"/>
    <w:rsid w:val="00AB06A7"/>
    <w:rsid w:val="00AB7174"/>
    <w:rsid w:val="00AC2129"/>
    <w:rsid w:val="00AC67A5"/>
    <w:rsid w:val="00AC760A"/>
    <w:rsid w:val="00AC7A3D"/>
    <w:rsid w:val="00AC7F29"/>
    <w:rsid w:val="00AD79A9"/>
    <w:rsid w:val="00AE35FE"/>
    <w:rsid w:val="00AE38C6"/>
    <w:rsid w:val="00AF66EB"/>
    <w:rsid w:val="00B02AC0"/>
    <w:rsid w:val="00B07165"/>
    <w:rsid w:val="00B172A2"/>
    <w:rsid w:val="00B212EB"/>
    <w:rsid w:val="00B369F8"/>
    <w:rsid w:val="00B42812"/>
    <w:rsid w:val="00B61011"/>
    <w:rsid w:val="00B71047"/>
    <w:rsid w:val="00B860BA"/>
    <w:rsid w:val="00BB48BB"/>
    <w:rsid w:val="00BC1FCA"/>
    <w:rsid w:val="00BD63D7"/>
    <w:rsid w:val="00BE36A3"/>
    <w:rsid w:val="00BE6784"/>
    <w:rsid w:val="00C00AAD"/>
    <w:rsid w:val="00C04723"/>
    <w:rsid w:val="00C10A2B"/>
    <w:rsid w:val="00C13624"/>
    <w:rsid w:val="00C1530F"/>
    <w:rsid w:val="00C16180"/>
    <w:rsid w:val="00C20E7E"/>
    <w:rsid w:val="00C2334E"/>
    <w:rsid w:val="00C46ABB"/>
    <w:rsid w:val="00C46C3D"/>
    <w:rsid w:val="00C52C98"/>
    <w:rsid w:val="00C571FA"/>
    <w:rsid w:val="00C61DDF"/>
    <w:rsid w:val="00C83E2E"/>
    <w:rsid w:val="00CB7488"/>
    <w:rsid w:val="00CC25D0"/>
    <w:rsid w:val="00CF5800"/>
    <w:rsid w:val="00D061BD"/>
    <w:rsid w:val="00D10F08"/>
    <w:rsid w:val="00D1785A"/>
    <w:rsid w:val="00D25FB7"/>
    <w:rsid w:val="00D36C62"/>
    <w:rsid w:val="00D636AF"/>
    <w:rsid w:val="00D96487"/>
    <w:rsid w:val="00D9714A"/>
    <w:rsid w:val="00DB69AA"/>
    <w:rsid w:val="00DC581E"/>
    <w:rsid w:val="00DF3EE4"/>
    <w:rsid w:val="00DF541B"/>
    <w:rsid w:val="00E25B6A"/>
    <w:rsid w:val="00E332F2"/>
    <w:rsid w:val="00E55142"/>
    <w:rsid w:val="00E65CBE"/>
    <w:rsid w:val="00E707D3"/>
    <w:rsid w:val="00E72474"/>
    <w:rsid w:val="00E9734D"/>
    <w:rsid w:val="00EA66BC"/>
    <w:rsid w:val="00EB53E7"/>
    <w:rsid w:val="00EB56C0"/>
    <w:rsid w:val="00ED1C0D"/>
    <w:rsid w:val="00ED5BE0"/>
    <w:rsid w:val="00EE6F85"/>
    <w:rsid w:val="00F00178"/>
    <w:rsid w:val="00F01DD5"/>
    <w:rsid w:val="00F76472"/>
    <w:rsid w:val="00F84E45"/>
    <w:rsid w:val="00F86781"/>
    <w:rsid w:val="00F90E14"/>
    <w:rsid w:val="00F968B1"/>
    <w:rsid w:val="00FE6204"/>
    <w:rsid w:val="00FE6B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3FBD08"/>
  <w15:chartTrackingRefBased/>
  <w15:docId w15:val="{2C712D35-F684-4968-81CF-6CDD8CDE9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734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qFormat/>
    <w:rsid w:val="00E9734D"/>
    <w:pPr>
      <w:ind w:firstLineChars="200" w:firstLine="482"/>
    </w:pPr>
    <w:rPr>
      <w:rFonts w:eastAsia="仿宋_GB2312"/>
      <w:b/>
      <w:bCs/>
      <w:sz w:val="24"/>
      <w:szCs w:val="28"/>
    </w:rPr>
  </w:style>
  <w:style w:type="character" w:customStyle="1" w:styleId="a4">
    <w:name w:val="正文文本缩进 字符"/>
    <w:basedOn w:val="a0"/>
    <w:link w:val="a3"/>
    <w:qFormat/>
    <w:rsid w:val="00E9734D"/>
    <w:rPr>
      <w:rFonts w:ascii="Times New Roman" w:eastAsia="仿宋_GB2312" w:hAnsi="Times New Roman" w:cs="Times New Roman"/>
      <w:b/>
      <w:bCs/>
      <w:sz w:val="24"/>
      <w:szCs w:val="28"/>
    </w:rPr>
  </w:style>
  <w:style w:type="paragraph" w:styleId="a5">
    <w:name w:val="Plain Text"/>
    <w:basedOn w:val="a"/>
    <w:link w:val="a6"/>
    <w:qFormat/>
    <w:rsid w:val="00E9734D"/>
    <w:rPr>
      <w:rFonts w:ascii="宋体" w:hAnsi="Courier New" w:cs="Courier New"/>
      <w:szCs w:val="21"/>
    </w:rPr>
  </w:style>
  <w:style w:type="character" w:customStyle="1" w:styleId="a6">
    <w:name w:val="纯文本 字符"/>
    <w:basedOn w:val="a0"/>
    <w:link w:val="a5"/>
    <w:qFormat/>
    <w:rsid w:val="00E9734D"/>
    <w:rPr>
      <w:rFonts w:ascii="宋体" w:eastAsia="宋体" w:hAnsi="Courier New" w:cs="Courier New"/>
      <w:szCs w:val="21"/>
    </w:rPr>
  </w:style>
  <w:style w:type="paragraph" w:styleId="a7">
    <w:name w:val="footer"/>
    <w:basedOn w:val="a"/>
    <w:link w:val="a8"/>
    <w:uiPriority w:val="99"/>
    <w:qFormat/>
    <w:rsid w:val="00E9734D"/>
    <w:pPr>
      <w:tabs>
        <w:tab w:val="center" w:pos="4153"/>
        <w:tab w:val="right" w:pos="8306"/>
      </w:tabs>
      <w:snapToGrid w:val="0"/>
      <w:jc w:val="left"/>
    </w:pPr>
    <w:rPr>
      <w:sz w:val="18"/>
      <w:szCs w:val="18"/>
    </w:rPr>
  </w:style>
  <w:style w:type="character" w:customStyle="1" w:styleId="a8">
    <w:name w:val="页脚 字符"/>
    <w:basedOn w:val="a0"/>
    <w:link w:val="a7"/>
    <w:uiPriority w:val="99"/>
    <w:qFormat/>
    <w:rsid w:val="00E9734D"/>
    <w:rPr>
      <w:rFonts w:ascii="Times New Roman" w:eastAsia="宋体" w:hAnsi="Times New Roman" w:cs="Times New Roman"/>
      <w:sz w:val="18"/>
      <w:szCs w:val="18"/>
    </w:rPr>
  </w:style>
  <w:style w:type="paragraph" w:styleId="a9">
    <w:name w:val="header"/>
    <w:basedOn w:val="a"/>
    <w:link w:val="aa"/>
    <w:uiPriority w:val="99"/>
    <w:qFormat/>
    <w:rsid w:val="00E9734D"/>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uiPriority w:val="99"/>
    <w:qFormat/>
    <w:rsid w:val="00E9734D"/>
    <w:rPr>
      <w:rFonts w:ascii="Times New Roman" w:eastAsia="宋体" w:hAnsi="Times New Roman" w:cs="Times New Roman"/>
      <w:sz w:val="18"/>
      <w:szCs w:val="18"/>
    </w:rPr>
  </w:style>
  <w:style w:type="table" w:customStyle="1" w:styleId="1">
    <w:name w:val="网格型1"/>
    <w:basedOn w:val="a1"/>
    <w:next w:val="ab"/>
    <w:uiPriority w:val="39"/>
    <w:rsid w:val="00BB4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b">
    <w:name w:val="Table Grid"/>
    <w:basedOn w:val="a1"/>
    <w:uiPriority w:val="39"/>
    <w:rsid w:val="00BB4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a1"/>
    <w:next w:val="ab"/>
    <w:uiPriority w:val="39"/>
    <w:qFormat/>
    <w:rsid w:val="007404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865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9</Pages>
  <Words>1020</Words>
  <Characters>5817</Characters>
  <Application>Microsoft Office Word</Application>
  <DocSecurity>0</DocSecurity>
  <Lines>48</Lines>
  <Paragraphs>13</Paragraphs>
  <ScaleCrop>false</ScaleCrop>
  <Company/>
  <LinksUpToDate>false</LinksUpToDate>
  <CharactersWithSpaces>6824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呼延钰</cp:lastModifiedBy>
  <cp:revision>31</cp:revision>
  <dcterms:created xsi:type="dcterms:W3CDTF">2021-04-20T05:53:00Z</dcterms:created>
  <dcterms:modified xsi:type="dcterms:W3CDTF">2023-04-27T09:46:00Z</dcterms:modified>
</cp:coreProperties>
</file>